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2C123" w14:textId="77777777" w:rsidR="003A7597" w:rsidRPr="00831504" w:rsidRDefault="003A7597" w:rsidP="003A7597">
      <w:pPr>
        <w:pBdr>
          <w:top w:val="single" w:sz="12" w:space="1" w:color="auto"/>
          <w:left w:val="single" w:sz="12" w:space="4" w:color="auto"/>
          <w:bottom w:val="single" w:sz="12" w:space="1" w:color="auto"/>
          <w:right w:val="single" w:sz="12" w:space="4" w:color="auto"/>
        </w:pBdr>
        <w:shd w:val="clear" w:color="auto" w:fill="B6DDE8"/>
        <w:jc w:val="center"/>
        <w:rPr>
          <w:b/>
          <w:iCs/>
          <w:color w:val="000000"/>
          <w:sz w:val="36"/>
          <w:szCs w:val="36"/>
          <w:lang w:val="en-GB"/>
        </w:rPr>
      </w:pPr>
      <w:r>
        <w:rPr>
          <w:b/>
          <w:iCs/>
          <w:color w:val="000000"/>
          <w:sz w:val="36"/>
          <w:szCs w:val="36"/>
          <w:lang w:val="en-GB"/>
        </w:rPr>
        <w:t>GUIDELINE</w:t>
      </w:r>
      <w:r w:rsidR="002436CB">
        <w:rPr>
          <w:b/>
          <w:iCs/>
          <w:color w:val="000000"/>
          <w:sz w:val="36"/>
          <w:szCs w:val="36"/>
          <w:lang w:val="en-GB"/>
        </w:rPr>
        <w:t>S</w:t>
      </w:r>
      <w:r>
        <w:rPr>
          <w:b/>
          <w:iCs/>
          <w:color w:val="000000"/>
          <w:sz w:val="36"/>
          <w:szCs w:val="36"/>
          <w:lang w:val="en-GB"/>
        </w:rPr>
        <w:t xml:space="preserve"> FOR APPLICANTS </w:t>
      </w:r>
    </w:p>
    <w:p w14:paraId="18684764" w14:textId="77777777" w:rsidR="00C335BE" w:rsidRDefault="00C335BE">
      <w:pPr>
        <w:rPr>
          <w:lang w:val="en-US"/>
        </w:rPr>
      </w:pPr>
    </w:p>
    <w:p w14:paraId="73877B7A" w14:textId="77777777" w:rsidR="009A0E07" w:rsidRDefault="009A0E07" w:rsidP="00F45FCB">
      <w:pPr>
        <w:spacing w:line="600" w:lineRule="exact"/>
        <w:rPr>
          <w:lang w:val="en-US"/>
        </w:rPr>
      </w:pPr>
    </w:p>
    <w:p w14:paraId="2F98E158" w14:textId="4124D259" w:rsidR="003A7597" w:rsidRPr="00831504" w:rsidRDefault="00116183" w:rsidP="00F45FCB">
      <w:pPr>
        <w:pBdr>
          <w:top w:val="single" w:sz="12" w:space="1" w:color="auto"/>
          <w:left w:val="single" w:sz="12" w:space="4" w:color="auto"/>
          <w:bottom w:val="single" w:sz="12" w:space="1" w:color="auto"/>
          <w:right w:val="single" w:sz="12" w:space="4" w:color="auto"/>
        </w:pBdr>
        <w:shd w:val="clear" w:color="auto" w:fill="B6DDE8"/>
        <w:spacing w:line="600" w:lineRule="exact"/>
        <w:jc w:val="center"/>
        <w:rPr>
          <w:b/>
          <w:iCs/>
          <w:color w:val="000000"/>
          <w:sz w:val="36"/>
          <w:szCs w:val="36"/>
          <w:lang w:val="en-GB"/>
        </w:rPr>
      </w:pPr>
      <w:r w:rsidRPr="00116183">
        <w:rPr>
          <w:b/>
          <w:iCs/>
          <w:color w:val="000000"/>
          <w:sz w:val="36"/>
          <w:szCs w:val="36"/>
          <w:lang w:val="en-GB"/>
        </w:rPr>
        <w:t>Call for predefined</w:t>
      </w:r>
      <w:r w:rsidRPr="0073767C">
        <w:rPr>
          <w:rFonts w:ascii="Times New Roman" w:hAnsi="Times New Roman" w:cs="Times New Roman"/>
          <w:sz w:val="24"/>
          <w:szCs w:val="24"/>
          <w:lang w:val="en-GB"/>
        </w:rPr>
        <w:t xml:space="preserve"> </w:t>
      </w:r>
      <w:r w:rsidR="00E55CF7">
        <w:rPr>
          <w:b/>
          <w:iCs/>
          <w:color w:val="000000"/>
          <w:sz w:val="36"/>
          <w:szCs w:val="36"/>
          <w:lang w:val="en-GB"/>
        </w:rPr>
        <w:t>initiatives</w:t>
      </w:r>
      <w:r w:rsidR="003A7597">
        <w:rPr>
          <w:b/>
          <w:iCs/>
          <w:color w:val="000000"/>
          <w:sz w:val="36"/>
          <w:szCs w:val="36"/>
          <w:lang w:val="en-GB"/>
        </w:rPr>
        <w:t xml:space="preserve"> under the fund for bilateral relations, Home Affairs Programme, </w:t>
      </w:r>
      <w:r>
        <w:rPr>
          <w:b/>
          <w:iCs/>
          <w:color w:val="000000"/>
          <w:sz w:val="36"/>
          <w:szCs w:val="36"/>
          <w:lang w:val="en-GB"/>
        </w:rPr>
        <w:br/>
      </w:r>
      <w:r w:rsidR="003A7597">
        <w:rPr>
          <w:b/>
          <w:iCs/>
          <w:color w:val="000000"/>
          <w:sz w:val="36"/>
          <w:szCs w:val="36"/>
          <w:lang w:val="en-GB"/>
        </w:rPr>
        <w:t>Norwegi</w:t>
      </w:r>
      <w:r w:rsidR="00097C35">
        <w:rPr>
          <w:b/>
          <w:iCs/>
          <w:color w:val="000000"/>
          <w:sz w:val="36"/>
          <w:szCs w:val="36"/>
          <w:lang w:val="en-GB"/>
        </w:rPr>
        <w:t>an Financial Mechanism 2014-2021</w:t>
      </w:r>
    </w:p>
    <w:p w14:paraId="1709C7B6" w14:textId="77777777" w:rsidR="009A0E07" w:rsidRDefault="009A0E07">
      <w:pPr>
        <w:rPr>
          <w:lang w:val="en-US"/>
        </w:rPr>
      </w:pPr>
    </w:p>
    <w:p w14:paraId="6D3F4351" w14:textId="77777777" w:rsidR="004C2B79" w:rsidRDefault="004C2B79">
      <w:pPr>
        <w:rPr>
          <w:lang w:val="en-US"/>
        </w:rPr>
      </w:pPr>
    </w:p>
    <w:p w14:paraId="2F066F17" w14:textId="77777777" w:rsidR="003A7597" w:rsidRPr="000C624D" w:rsidRDefault="00DC7D29" w:rsidP="005C0F8D">
      <w:pPr>
        <w:spacing w:line="320" w:lineRule="exact"/>
        <w:ind w:firstLine="851"/>
        <w:rPr>
          <w:rFonts w:ascii="Times New Roman" w:hAnsi="Times New Roman" w:cs="Times New Roman"/>
          <w:b/>
          <w:sz w:val="24"/>
          <w:szCs w:val="24"/>
          <w:lang w:val="en-US"/>
        </w:rPr>
      </w:pPr>
      <w:r w:rsidRPr="000C624D">
        <w:rPr>
          <w:rFonts w:ascii="Times New Roman" w:hAnsi="Times New Roman" w:cs="Times New Roman"/>
          <w:b/>
          <w:sz w:val="24"/>
          <w:szCs w:val="24"/>
          <w:lang w:val="en-US"/>
        </w:rPr>
        <w:t xml:space="preserve">I. </w:t>
      </w:r>
      <w:r w:rsidR="00DC3E38" w:rsidRPr="000C624D">
        <w:rPr>
          <w:rFonts w:ascii="Times New Roman" w:hAnsi="Times New Roman" w:cs="Times New Roman"/>
          <w:b/>
          <w:sz w:val="24"/>
          <w:szCs w:val="24"/>
          <w:lang w:val="en-US"/>
        </w:rPr>
        <w:t xml:space="preserve">Introduction </w:t>
      </w:r>
    </w:p>
    <w:p w14:paraId="24E09827" w14:textId="77777777" w:rsidR="005C6433" w:rsidRDefault="00DC3E38" w:rsidP="005C0F8D">
      <w:pPr>
        <w:spacing w:line="320" w:lineRule="exact"/>
        <w:ind w:firstLine="851"/>
        <w:jc w:val="both"/>
        <w:rPr>
          <w:rFonts w:ascii="Times New Roman" w:hAnsi="Times New Roman" w:cs="Times New Roman"/>
          <w:sz w:val="24"/>
          <w:szCs w:val="24"/>
          <w:lang w:val="en-US"/>
        </w:rPr>
      </w:pPr>
      <w:r w:rsidRPr="000C624D">
        <w:rPr>
          <w:rFonts w:ascii="Times New Roman" w:hAnsi="Times New Roman" w:cs="Times New Roman"/>
          <w:sz w:val="24"/>
          <w:szCs w:val="24"/>
          <w:lang w:val="en-US"/>
        </w:rPr>
        <w:t xml:space="preserve">The objectives of </w:t>
      </w:r>
      <w:r w:rsidR="00F54B4A" w:rsidRPr="000C624D">
        <w:rPr>
          <w:rFonts w:ascii="Times New Roman" w:hAnsi="Times New Roman" w:cs="Times New Roman"/>
          <w:sz w:val="24"/>
          <w:szCs w:val="24"/>
          <w:lang w:val="en-US"/>
        </w:rPr>
        <w:t>these</w:t>
      </w:r>
      <w:r w:rsidRPr="000C624D">
        <w:rPr>
          <w:rFonts w:ascii="Times New Roman" w:hAnsi="Times New Roman" w:cs="Times New Roman"/>
          <w:sz w:val="24"/>
          <w:szCs w:val="24"/>
          <w:lang w:val="en-US"/>
        </w:rPr>
        <w:t xml:space="preserve"> initiatives </w:t>
      </w:r>
      <w:r w:rsidR="00F54B4A" w:rsidRPr="000C624D">
        <w:rPr>
          <w:rFonts w:ascii="Times New Roman" w:hAnsi="Times New Roman" w:cs="Times New Roman"/>
          <w:sz w:val="24"/>
          <w:szCs w:val="24"/>
          <w:lang w:val="en-US"/>
        </w:rPr>
        <w:t>are to enhance the cooperation</w:t>
      </w:r>
      <w:r w:rsidR="00097C35">
        <w:rPr>
          <w:rFonts w:ascii="Times New Roman" w:hAnsi="Times New Roman" w:cs="Times New Roman"/>
          <w:sz w:val="24"/>
          <w:szCs w:val="24"/>
          <w:lang w:val="en-US"/>
        </w:rPr>
        <w:t xml:space="preserve"> and improve</w:t>
      </w:r>
      <w:r w:rsidR="00875E6F" w:rsidRPr="000C624D">
        <w:rPr>
          <w:rFonts w:ascii="Times New Roman" w:hAnsi="Times New Roman" w:cs="Times New Roman"/>
          <w:sz w:val="24"/>
          <w:szCs w:val="24"/>
          <w:lang w:val="en-US"/>
        </w:rPr>
        <w:t xml:space="preserve"> </w:t>
      </w:r>
      <w:r w:rsidR="00097C35">
        <w:rPr>
          <w:rFonts w:ascii="Times New Roman" w:hAnsi="Times New Roman" w:cs="Times New Roman"/>
          <w:sz w:val="24"/>
          <w:szCs w:val="24"/>
          <w:lang w:val="en-US"/>
        </w:rPr>
        <w:t xml:space="preserve">the </w:t>
      </w:r>
      <w:r w:rsidR="00875E6F" w:rsidRPr="000C624D">
        <w:rPr>
          <w:rFonts w:ascii="Times New Roman" w:hAnsi="Times New Roman" w:cs="Times New Roman"/>
          <w:sz w:val="24"/>
          <w:szCs w:val="24"/>
          <w:lang w:val="en-US"/>
        </w:rPr>
        <w:t xml:space="preserve">mutual </w:t>
      </w:r>
      <w:r w:rsidR="00097C35" w:rsidRPr="00097C35">
        <w:rPr>
          <w:rFonts w:ascii="Times New Roman" w:hAnsi="Times New Roman" w:cs="Times New Roman"/>
          <w:sz w:val="24"/>
          <w:szCs w:val="24"/>
          <w:lang w:val="en-US"/>
        </w:rPr>
        <w:t xml:space="preserve">relations </w:t>
      </w:r>
      <w:r w:rsidR="00F54B4A" w:rsidRPr="000C624D">
        <w:rPr>
          <w:rFonts w:ascii="Times New Roman" w:hAnsi="Times New Roman" w:cs="Times New Roman"/>
          <w:sz w:val="24"/>
          <w:szCs w:val="24"/>
          <w:lang w:val="en-US"/>
        </w:rPr>
        <w:t>between Bulgaria and Norway. The relations between Bulgaria and Norway shall also be strengthened through the implementation o</w:t>
      </w:r>
      <w:r w:rsidR="00097C35">
        <w:rPr>
          <w:rFonts w:ascii="Times New Roman" w:hAnsi="Times New Roman" w:cs="Times New Roman"/>
          <w:sz w:val="24"/>
          <w:szCs w:val="24"/>
          <w:lang w:val="en-US"/>
        </w:rPr>
        <w:t>f activities aiming at increasing</w:t>
      </w:r>
      <w:r w:rsidR="00F54B4A" w:rsidRPr="000C624D">
        <w:rPr>
          <w:rFonts w:ascii="Times New Roman" w:hAnsi="Times New Roman" w:cs="Times New Roman"/>
          <w:sz w:val="24"/>
          <w:szCs w:val="24"/>
          <w:lang w:val="en-US"/>
        </w:rPr>
        <w:t xml:space="preserve"> </w:t>
      </w:r>
      <w:r w:rsidR="00097C35">
        <w:rPr>
          <w:rFonts w:ascii="Times New Roman" w:hAnsi="Times New Roman" w:cs="Times New Roman"/>
          <w:sz w:val="24"/>
          <w:szCs w:val="24"/>
          <w:lang w:val="en-US"/>
        </w:rPr>
        <w:t xml:space="preserve">the </w:t>
      </w:r>
      <w:r w:rsidR="00F54B4A" w:rsidRPr="000C624D">
        <w:rPr>
          <w:rFonts w:ascii="Times New Roman" w:hAnsi="Times New Roman" w:cs="Times New Roman"/>
          <w:sz w:val="24"/>
          <w:szCs w:val="24"/>
          <w:lang w:val="en-US"/>
        </w:rPr>
        <w:t>strategic cooperation, networking and exchange of knowledge b</w:t>
      </w:r>
      <w:r w:rsidR="00171750">
        <w:rPr>
          <w:rFonts w:ascii="Times New Roman" w:hAnsi="Times New Roman" w:cs="Times New Roman"/>
          <w:sz w:val="24"/>
          <w:szCs w:val="24"/>
          <w:lang w:val="en-US"/>
        </w:rPr>
        <w:t xml:space="preserve">etween entities in Norway and </w:t>
      </w:r>
      <w:r w:rsidR="00F54B4A" w:rsidRPr="000C624D">
        <w:rPr>
          <w:rFonts w:ascii="Times New Roman" w:hAnsi="Times New Roman" w:cs="Times New Roman"/>
          <w:sz w:val="24"/>
          <w:szCs w:val="24"/>
          <w:lang w:val="en-US"/>
        </w:rPr>
        <w:t>Bulgaria, and through other joint in</w:t>
      </w:r>
      <w:r w:rsidR="00545415">
        <w:rPr>
          <w:rFonts w:ascii="Times New Roman" w:hAnsi="Times New Roman" w:cs="Times New Roman"/>
          <w:sz w:val="24"/>
          <w:szCs w:val="24"/>
          <w:lang w:val="en-US"/>
        </w:rPr>
        <w:t>itiatives beyond the programmes.</w:t>
      </w:r>
    </w:p>
    <w:p w14:paraId="5739DEFE" w14:textId="15189EB7" w:rsidR="003E0B81" w:rsidRDefault="00791EA2" w:rsidP="005C0F8D">
      <w:pPr>
        <w:spacing w:line="320" w:lineRule="exact"/>
        <w:ind w:firstLine="851"/>
        <w:jc w:val="both"/>
        <w:rPr>
          <w:rFonts w:ascii="Times New Roman" w:hAnsi="Times New Roman" w:cs="Times New Roman"/>
          <w:sz w:val="24"/>
          <w:szCs w:val="24"/>
          <w:lang w:val="en-US"/>
        </w:rPr>
      </w:pPr>
      <w:r w:rsidRPr="000C624D">
        <w:rPr>
          <w:rFonts w:ascii="Times New Roman" w:hAnsi="Times New Roman" w:cs="Times New Roman"/>
          <w:sz w:val="24"/>
          <w:szCs w:val="24"/>
          <w:lang w:val="en-US"/>
        </w:rPr>
        <w:t xml:space="preserve">According to the Memorandum of Understanding signed between </w:t>
      </w:r>
      <w:r w:rsidR="00545415">
        <w:rPr>
          <w:rFonts w:ascii="Times New Roman" w:hAnsi="Times New Roman" w:cs="Times New Roman"/>
          <w:sz w:val="24"/>
          <w:szCs w:val="24"/>
          <w:lang w:val="en-US"/>
        </w:rPr>
        <w:t xml:space="preserve">the </w:t>
      </w:r>
      <w:r w:rsidRPr="000C624D">
        <w:rPr>
          <w:rFonts w:ascii="Times New Roman" w:hAnsi="Times New Roman" w:cs="Times New Roman"/>
          <w:sz w:val="24"/>
          <w:szCs w:val="24"/>
          <w:lang w:val="en-US"/>
        </w:rPr>
        <w:t xml:space="preserve">Republic of Bulgaria and </w:t>
      </w:r>
      <w:r w:rsidR="00545415">
        <w:rPr>
          <w:rFonts w:ascii="Times New Roman" w:hAnsi="Times New Roman" w:cs="Times New Roman"/>
          <w:sz w:val="24"/>
          <w:szCs w:val="24"/>
          <w:lang w:val="en-US"/>
        </w:rPr>
        <w:t xml:space="preserve">the </w:t>
      </w:r>
      <w:r w:rsidRPr="000C624D">
        <w:rPr>
          <w:rFonts w:ascii="Times New Roman" w:hAnsi="Times New Roman" w:cs="Times New Roman"/>
          <w:sz w:val="24"/>
          <w:szCs w:val="24"/>
          <w:lang w:val="en-US"/>
        </w:rPr>
        <w:t>Kingdom of Norway</w:t>
      </w:r>
      <w:r w:rsidRPr="008566FF">
        <w:rPr>
          <w:rFonts w:ascii="Times New Roman" w:hAnsi="Times New Roman" w:cs="Times New Roman"/>
          <w:sz w:val="24"/>
          <w:szCs w:val="24"/>
          <w:lang w:val="en-US"/>
        </w:rPr>
        <w:t>,</w:t>
      </w:r>
      <w:r w:rsidR="00545415" w:rsidRPr="008566FF">
        <w:rPr>
          <w:rFonts w:ascii="Times New Roman" w:hAnsi="Times New Roman" w:cs="Times New Roman"/>
          <w:sz w:val="24"/>
          <w:szCs w:val="24"/>
          <w:lang w:val="en-US"/>
        </w:rPr>
        <w:t xml:space="preserve"> 100 000 EUR </w:t>
      </w:r>
      <w:r w:rsidR="00545415">
        <w:rPr>
          <w:rFonts w:ascii="Times New Roman" w:hAnsi="Times New Roman" w:cs="Times New Roman"/>
          <w:sz w:val="24"/>
          <w:szCs w:val="24"/>
          <w:lang w:val="en-US"/>
        </w:rPr>
        <w:t>are</w:t>
      </w:r>
      <w:r w:rsidRPr="000C624D">
        <w:rPr>
          <w:rFonts w:ascii="Times New Roman" w:hAnsi="Times New Roman" w:cs="Times New Roman"/>
          <w:sz w:val="24"/>
          <w:szCs w:val="24"/>
          <w:lang w:val="en-US"/>
        </w:rPr>
        <w:t xml:space="preserve"> allocated </w:t>
      </w:r>
      <w:r w:rsidR="00545415">
        <w:rPr>
          <w:rFonts w:ascii="Times New Roman" w:hAnsi="Times New Roman" w:cs="Times New Roman"/>
          <w:sz w:val="24"/>
          <w:szCs w:val="24"/>
          <w:lang w:val="en-US"/>
        </w:rPr>
        <w:t>from</w:t>
      </w:r>
      <w:r w:rsidRPr="000C624D">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Homme Affairs</w:t>
      </w:r>
      <w:r w:rsidR="00975A8B">
        <w:rPr>
          <w:rFonts w:ascii="Times New Roman" w:hAnsi="Times New Roman" w:cs="Times New Roman"/>
          <w:sz w:val="24"/>
          <w:szCs w:val="24"/>
          <w:lang w:val="en-US"/>
        </w:rPr>
        <w:t xml:space="preserve"> P</w:t>
      </w:r>
      <w:r w:rsidR="00B4055E">
        <w:rPr>
          <w:rFonts w:ascii="Times New Roman" w:hAnsi="Times New Roman" w:cs="Times New Roman"/>
          <w:sz w:val="24"/>
          <w:szCs w:val="24"/>
          <w:lang w:val="en-US"/>
        </w:rPr>
        <w:t>rogramme to</w:t>
      </w:r>
      <w:r w:rsidR="00545415">
        <w:rPr>
          <w:rFonts w:ascii="Times New Roman" w:hAnsi="Times New Roman" w:cs="Times New Roman"/>
          <w:sz w:val="24"/>
          <w:szCs w:val="24"/>
          <w:lang w:val="en-US"/>
        </w:rPr>
        <w:t xml:space="preserve"> </w:t>
      </w:r>
      <w:r w:rsidRPr="000C624D">
        <w:rPr>
          <w:rFonts w:ascii="Times New Roman" w:hAnsi="Times New Roman" w:cs="Times New Roman"/>
          <w:sz w:val="24"/>
          <w:szCs w:val="24"/>
          <w:lang w:val="en-US"/>
        </w:rPr>
        <w:t>th</w:t>
      </w:r>
      <w:r>
        <w:rPr>
          <w:rFonts w:ascii="Times New Roman" w:hAnsi="Times New Roman" w:cs="Times New Roman"/>
          <w:sz w:val="24"/>
          <w:szCs w:val="24"/>
          <w:lang w:val="en-US"/>
        </w:rPr>
        <w:t>e fund for bilateral relations.</w:t>
      </w:r>
      <w:r w:rsidR="0048621B">
        <w:rPr>
          <w:rFonts w:ascii="Times New Roman" w:hAnsi="Times New Roman" w:cs="Times New Roman"/>
          <w:sz w:val="24"/>
          <w:szCs w:val="24"/>
          <w:lang w:val="en-US"/>
        </w:rPr>
        <w:t xml:space="preserve"> Additional 100 000 EUR  are allocated</w:t>
      </w:r>
      <w:r w:rsidR="00126D88">
        <w:rPr>
          <w:rFonts w:ascii="Times New Roman" w:hAnsi="Times New Roman" w:cs="Times New Roman"/>
          <w:sz w:val="24"/>
          <w:szCs w:val="24"/>
          <w:lang w:val="en-US"/>
        </w:rPr>
        <w:t xml:space="preserve"> by the National Focal Point to the </w:t>
      </w:r>
      <w:r w:rsidR="0048621B">
        <w:rPr>
          <w:rFonts w:ascii="Times New Roman" w:hAnsi="Times New Roman" w:cs="Times New Roman"/>
          <w:sz w:val="24"/>
          <w:szCs w:val="24"/>
          <w:lang w:val="en-US"/>
        </w:rPr>
        <w:t xml:space="preserve"> </w:t>
      </w:r>
      <w:r w:rsidR="00126D88" w:rsidRPr="00126D88">
        <w:rPr>
          <w:rFonts w:ascii="Times New Roman" w:hAnsi="Times New Roman" w:cs="Times New Roman"/>
          <w:sz w:val="24"/>
          <w:szCs w:val="24"/>
          <w:lang w:val="en-US"/>
        </w:rPr>
        <w:t>fund for bilateral relations</w:t>
      </w:r>
      <w:r w:rsidR="00126D88">
        <w:rPr>
          <w:rFonts w:ascii="Times New Roman" w:hAnsi="Times New Roman" w:cs="Times New Roman"/>
          <w:sz w:val="24"/>
          <w:szCs w:val="24"/>
          <w:lang w:val="en-US"/>
        </w:rPr>
        <w:t xml:space="preserve"> within</w:t>
      </w:r>
      <w:r w:rsidR="00126D88" w:rsidRPr="00126D88">
        <w:t xml:space="preserve"> </w:t>
      </w:r>
      <w:r w:rsidR="00126D88" w:rsidRPr="00126D88">
        <w:rPr>
          <w:rFonts w:ascii="Times New Roman" w:hAnsi="Times New Roman" w:cs="Times New Roman"/>
          <w:sz w:val="24"/>
          <w:szCs w:val="24"/>
          <w:lang w:val="en-US"/>
        </w:rPr>
        <w:t>the Home Affairs Programme</w:t>
      </w:r>
      <w:r w:rsidR="00126D88">
        <w:rPr>
          <w:rFonts w:ascii="Times New Roman" w:hAnsi="Times New Roman" w:cs="Times New Roman"/>
          <w:sz w:val="24"/>
          <w:szCs w:val="24"/>
          <w:lang w:val="en-US"/>
        </w:rPr>
        <w:t xml:space="preserve">. So far the Programme operator under the Home Affairs programme has signed three grant agreements with beneficiaries  for financing 3 bilateral initiatives with a total amount 117 549 EUR as follows: </w:t>
      </w:r>
    </w:p>
    <w:p w14:paraId="49E56A09" w14:textId="6642EC35" w:rsidR="00126D88" w:rsidRDefault="00126D88" w:rsidP="0014657F">
      <w:pPr>
        <w:pStyle w:val="ListParagraph"/>
        <w:numPr>
          <w:ilvl w:val="0"/>
          <w:numId w:val="3"/>
        </w:numPr>
        <w:spacing w:line="320" w:lineRule="exact"/>
        <w:ind w:left="0" w:firstLine="851"/>
        <w:jc w:val="both"/>
        <w:rPr>
          <w:lang w:val="en-US"/>
        </w:rPr>
      </w:pPr>
      <w:r>
        <w:rPr>
          <w:lang w:val="en-US"/>
        </w:rPr>
        <w:t>“</w:t>
      </w:r>
      <w:r w:rsidRPr="00126D88">
        <w:rPr>
          <w:lang w:val="en-US"/>
        </w:rPr>
        <w:t>Joint sports activities in Sofia</w:t>
      </w:r>
      <w:r>
        <w:rPr>
          <w:lang w:val="en-US"/>
        </w:rPr>
        <w:t xml:space="preserve">” with a beneficiary </w:t>
      </w:r>
      <w:r w:rsidRPr="00126D88">
        <w:rPr>
          <w:lang w:val="en-US"/>
        </w:rPr>
        <w:t>State Agency for refugees in partnership with the Norwegian Directorate of Immigration (UDI);</w:t>
      </w:r>
    </w:p>
    <w:p w14:paraId="306C934F" w14:textId="3900751C" w:rsidR="00126D88" w:rsidRDefault="00126D88" w:rsidP="0014657F">
      <w:pPr>
        <w:pStyle w:val="ListParagraph"/>
        <w:numPr>
          <w:ilvl w:val="0"/>
          <w:numId w:val="3"/>
        </w:numPr>
        <w:spacing w:line="320" w:lineRule="exact"/>
        <w:ind w:left="0" w:firstLine="851"/>
        <w:jc w:val="both"/>
        <w:rPr>
          <w:lang w:val="en-US"/>
        </w:rPr>
      </w:pPr>
      <w:r>
        <w:rPr>
          <w:lang w:val="en-US"/>
        </w:rPr>
        <w:t>“</w:t>
      </w:r>
      <w:r w:rsidRPr="00126D88">
        <w:rPr>
          <w:lang w:val="en-US"/>
        </w:rPr>
        <w:t>Working together for a Europe free from violence – Ensuring Roma and Traveller women’s access to justice to assert their rights to be free from violence</w:t>
      </w:r>
      <w:r>
        <w:rPr>
          <w:lang w:val="en-US"/>
        </w:rPr>
        <w:t xml:space="preserve">” </w:t>
      </w:r>
      <w:r w:rsidRPr="00126D88">
        <w:rPr>
          <w:lang w:val="en-US"/>
        </w:rPr>
        <w:t>with a beneficiary</w:t>
      </w:r>
      <w:r w:rsidRPr="00126D88">
        <w:t xml:space="preserve"> </w:t>
      </w:r>
      <w:r w:rsidRPr="00126D88">
        <w:rPr>
          <w:lang w:val="en-US"/>
        </w:rPr>
        <w:t>Foundation “European institute” in partnership with Norwegian Ministry of Justice and Public Security</w:t>
      </w:r>
      <w:r>
        <w:rPr>
          <w:lang w:val="en-US"/>
        </w:rPr>
        <w:t>;</w:t>
      </w:r>
    </w:p>
    <w:p w14:paraId="619982F8" w14:textId="05D14169" w:rsidR="00126D88" w:rsidRPr="00126D88" w:rsidRDefault="00126D88" w:rsidP="0014657F">
      <w:pPr>
        <w:pStyle w:val="ListParagraph"/>
        <w:numPr>
          <w:ilvl w:val="0"/>
          <w:numId w:val="3"/>
        </w:numPr>
        <w:spacing w:line="320" w:lineRule="exact"/>
        <w:ind w:left="0" w:firstLine="851"/>
        <w:jc w:val="both"/>
        <w:rPr>
          <w:lang w:val="en-US"/>
        </w:rPr>
      </w:pPr>
      <w:r>
        <w:rPr>
          <w:lang w:val="en-US"/>
        </w:rPr>
        <w:t>“</w:t>
      </w:r>
      <w:r w:rsidRPr="00126D88">
        <w:rPr>
          <w:lang w:val="en-US"/>
        </w:rPr>
        <w:t>Video surveillance training seminar for exchange of best practices and knowledge regarding the use of video surveillance for increasing security in public space</w:t>
      </w:r>
      <w:r>
        <w:rPr>
          <w:lang w:val="en-US"/>
        </w:rPr>
        <w:t xml:space="preserve">” </w:t>
      </w:r>
      <w:r w:rsidRPr="00126D88">
        <w:rPr>
          <w:lang w:val="en-US"/>
        </w:rPr>
        <w:t>with a beneficiary</w:t>
      </w:r>
      <w:r w:rsidR="00607425" w:rsidRPr="00607425">
        <w:t xml:space="preserve"> </w:t>
      </w:r>
      <w:r w:rsidR="00607425" w:rsidRPr="00607425">
        <w:rPr>
          <w:lang w:val="en-US"/>
        </w:rPr>
        <w:t>General Directorate National Police – MoI in partnership Innlandet Police District, Norway</w:t>
      </w:r>
      <w:r w:rsidR="00607425">
        <w:rPr>
          <w:lang w:val="en-US"/>
        </w:rPr>
        <w:t>.</w:t>
      </w:r>
    </w:p>
    <w:p w14:paraId="622C9368" w14:textId="77777777" w:rsidR="003E0B81" w:rsidRDefault="003E0B81" w:rsidP="005C0F8D">
      <w:pPr>
        <w:spacing w:line="320" w:lineRule="exact"/>
        <w:ind w:firstLine="851"/>
        <w:jc w:val="both"/>
        <w:rPr>
          <w:rFonts w:ascii="Times New Roman" w:hAnsi="Times New Roman" w:cs="Times New Roman"/>
          <w:sz w:val="24"/>
          <w:szCs w:val="24"/>
          <w:lang w:val="en-US"/>
        </w:rPr>
      </w:pPr>
    </w:p>
    <w:p w14:paraId="631FF484" w14:textId="77777777" w:rsidR="002436CB" w:rsidRPr="00EB1B31" w:rsidRDefault="003E0B81" w:rsidP="005C0F8D">
      <w:pPr>
        <w:spacing w:line="320" w:lineRule="exact"/>
        <w:ind w:firstLine="851"/>
        <w:jc w:val="both"/>
        <w:rPr>
          <w:rFonts w:ascii="Times New Roman" w:hAnsi="Times New Roman" w:cs="Times New Roman"/>
          <w:b/>
          <w:sz w:val="24"/>
          <w:szCs w:val="24"/>
          <w:lang w:val="en-US"/>
        </w:rPr>
      </w:pPr>
      <w:r w:rsidRPr="00EB1B31">
        <w:rPr>
          <w:rFonts w:ascii="Times New Roman" w:hAnsi="Times New Roman" w:cs="Times New Roman"/>
          <w:b/>
          <w:sz w:val="24"/>
          <w:szCs w:val="24"/>
          <w:lang w:val="en-US"/>
        </w:rPr>
        <w:lastRenderedPageBreak/>
        <w:t xml:space="preserve">II. Eligibility of </w:t>
      </w:r>
      <w:r w:rsidR="003F7E85">
        <w:rPr>
          <w:rFonts w:ascii="Times New Roman" w:hAnsi="Times New Roman" w:cs="Times New Roman"/>
          <w:b/>
          <w:sz w:val="24"/>
          <w:szCs w:val="24"/>
          <w:lang w:val="en-US"/>
        </w:rPr>
        <w:t xml:space="preserve">the </w:t>
      </w:r>
      <w:r w:rsidR="00EB1B31" w:rsidRPr="00EB1B31">
        <w:rPr>
          <w:rFonts w:ascii="Times New Roman" w:hAnsi="Times New Roman" w:cs="Times New Roman"/>
          <w:b/>
          <w:sz w:val="24"/>
          <w:szCs w:val="24"/>
          <w:lang w:val="en-US"/>
        </w:rPr>
        <w:t>applicants</w:t>
      </w:r>
      <w:r w:rsidR="0096290F">
        <w:rPr>
          <w:rFonts w:ascii="Times New Roman" w:hAnsi="Times New Roman" w:cs="Times New Roman"/>
          <w:b/>
          <w:sz w:val="24"/>
          <w:szCs w:val="24"/>
          <w:lang w:val="en-US"/>
        </w:rPr>
        <w:t xml:space="preserve"> and partners</w:t>
      </w:r>
      <w:r w:rsidR="002436CB" w:rsidRPr="00EB1B31">
        <w:rPr>
          <w:rFonts w:ascii="Times New Roman" w:hAnsi="Times New Roman" w:cs="Times New Roman"/>
          <w:b/>
          <w:sz w:val="24"/>
          <w:szCs w:val="24"/>
          <w:lang w:val="en-US"/>
        </w:rPr>
        <w:t>.</w:t>
      </w:r>
    </w:p>
    <w:p w14:paraId="5BF44FD5" w14:textId="7C2B0181" w:rsidR="00F03A38" w:rsidRPr="0014657F" w:rsidRDefault="00F03A38" w:rsidP="005C0F8D">
      <w:pPr>
        <w:spacing w:line="320" w:lineRule="exact"/>
        <w:ind w:firstLine="851"/>
        <w:jc w:val="both"/>
        <w:rPr>
          <w:rFonts w:ascii="Times New Roman" w:hAnsi="Times New Roman" w:cs="Times New Roman"/>
          <w:sz w:val="24"/>
          <w:szCs w:val="24"/>
          <w:lang w:val="en-GB"/>
        </w:rPr>
      </w:pPr>
      <w:r w:rsidRPr="0014657F">
        <w:rPr>
          <w:rFonts w:ascii="Times New Roman" w:hAnsi="Times New Roman" w:cs="Times New Roman"/>
          <w:sz w:val="24"/>
          <w:szCs w:val="24"/>
          <w:lang w:val="en-GB"/>
        </w:rPr>
        <w:t xml:space="preserve">The Cooperation Committee under the Home Affairs Programme has approved on the </w:t>
      </w:r>
      <w:r w:rsidR="005D44CC" w:rsidRPr="0014657F">
        <w:rPr>
          <w:rFonts w:ascii="Times New Roman" w:hAnsi="Times New Roman" w:cs="Times New Roman"/>
          <w:sz w:val="24"/>
          <w:szCs w:val="24"/>
          <w:lang w:val="en-GB"/>
        </w:rPr>
        <w:t>7</w:t>
      </w:r>
      <w:r w:rsidR="00B4055E" w:rsidRPr="0014657F">
        <w:rPr>
          <w:rFonts w:ascii="Times New Roman" w:hAnsi="Times New Roman" w:cs="Times New Roman"/>
          <w:sz w:val="24"/>
          <w:szCs w:val="24"/>
          <w:vertAlign w:val="superscript"/>
          <w:lang w:val="en-GB"/>
        </w:rPr>
        <w:t>th</w:t>
      </w:r>
      <w:r w:rsidR="00B4055E" w:rsidRPr="0014657F">
        <w:rPr>
          <w:rFonts w:ascii="Times New Roman" w:hAnsi="Times New Roman" w:cs="Times New Roman"/>
          <w:sz w:val="24"/>
          <w:szCs w:val="24"/>
          <w:lang w:val="en-GB"/>
        </w:rPr>
        <w:t xml:space="preserve"> of </w:t>
      </w:r>
      <w:r w:rsidR="005D44CC" w:rsidRPr="0014657F">
        <w:rPr>
          <w:rFonts w:ascii="Times New Roman" w:hAnsi="Times New Roman" w:cs="Times New Roman"/>
          <w:sz w:val="24"/>
          <w:szCs w:val="24"/>
          <w:lang w:val="en-GB"/>
        </w:rPr>
        <w:t xml:space="preserve">June </w:t>
      </w:r>
      <w:r w:rsidR="00B4055E" w:rsidRPr="0014657F">
        <w:rPr>
          <w:rFonts w:ascii="Times New Roman" w:hAnsi="Times New Roman" w:cs="Times New Roman"/>
          <w:sz w:val="24"/>
          <w:szCs w:val="24"/>
          <w:lang w:val="en-GB"/>
        </w:rPr>
        <w:t>202</w:t>
      </w:r>
      <w:r w:rsidR="005D44CC" w:rsidRPr="0014657F">
        <w:rPr>
          <w:rFonts w:ascii="Times New Roman" w:hAnsi="Times New Roman" w:cs="Times New Roman"/>
          <w:sz w:val="24"/>
          <w:szCs w:val="24"/>
          <w:lang w:val="en-GB"/>
        </w:rPr>
        <w:t>3</w:t>
      </w:r>
      <w:r w:rsidR="00B4055E" w:rsidRPr="0014657F">
        <w:rPr>
          <w:rFonts w:ascii="Times New Roman" w:hAnsi="Times New Roman" w:cs="Times New Roman"/>
          <w:sz w:val="24"/>
          <w:szCs w:val="24"/>
          <w:lang w:val="en-GB"/>
        </w:rPr>
        <w:t xml:space="preserve"> </w:t>
      </w:r>
      <w:r w:rsidR="00A6787F" w:rsidRPr="0014657F">
        <w:rPr>
          <w:rFonts w:ascii="Times New Roman" w:hAnsi="Times New Roman" w:cs="Times New Roman"/>
          <w:sz w:val="24"/>
          <w:szCs w:val="24"/>
          <w:lang w:val="en-US"/>
        </w:rPr>
        <w:t>two</w:t>
      </w:r>
      <w:r w:rsidR="00A6787F" w:rsidRPr="0014657F">
        <w:rPr>
          <w:rFonts w:ascii="Times New Roman" w:hAnsi="Times New Roman" w:cs="Times New Roman"/>
          <w:sz w:val="24"/>
          <w:szCs w:val="24"/>
          <w:lang w:val="en-GB"/>
        </w:rPr>
        <w:t xml:space="preserve"> </w:t>
      </w:r>
      <w:r w:rsidRPr="0014657F">
        <w:rPr>
          <w:rFonts w:ascii="Times New Roman" w:hAnsi="Times New Roman" w:cs="Times New Roman"/>
          <w:sz w:val="24"/>
          <w:szCs w:val="24"/>
          <w:lang w:val="en-GB"/>
        </w:rPr>
        <w:t>bilateral initiatives, as follows:</w:t>
      </w:r>
    </w:p>
    <w:p w14:paraId="0209A9A5" w14:textId="3D367CA4" w:rsidR="00A6787F" w:rsidRPr="0014657F" w:rsidRDefault="00A6787F" w:rsidP="00A6787F">
      <w:pPr>
        <w:spacing w:line="320" w:lineRule="exact"/>
        <w:ind w:firstLine="851"/>
        <w:jc w:val="both"/>
        <w:rPr>
          <w:rFonts w:ascii="Times New Roman" w:hAnsi="Times New Roman" w:cs="Times New Roman"/>
          <w:sz w:val="24"/>
          <w:szCs w:val="24"/>
          <w:lang w:val="en-GB"/>
        </w:rPr>
      </w:pPr>
      <w:r w:rsidRPr="0014657F">
        <w:rPr>
          <w:rFonts w:ascii="Times New Roman" w:hAnsi="Times New Roman" w:cs="Times New Roman"/>
          <w:sz w:val="24"/>
          <w:szCs w:val="24"/>
          <w:lang w:val="en-GB"/>
        </w:rPr>
        <w:t xml:space="preserve">- “Stepping up efforts to prevent and combat violence against Roma women and women from minority groups facing discrimination, marginalisation and exclusion”. The eligible applicant is Foundation European Institute in partnership with Ministry of Justice and Public Security Norway. </w:t>
      </w:r>
      <w:r w:rsidRPr="0014657F">
        <w:rPr>
          <w:rFonts w:ascii="Times New Roman" w:hAnsi="Times New Roman" w:cs="Times New Roman"/>
          <w:color w:val="FF0000"/>
          <w:sz w:val="24"/>
          <w:szCs w:val="24"/>
          <w:lang w:val="en-GB"/>
        </w:rPr>
        <w:t>Other stakeholders (not project partners) are: Bulgarian Police; Council of Europe; Roma NGOs and the FMO; Kilden</w:t>
      </w:r>
      <w:r w:rsidRPr="0014657F">
        <w:rPr>
          <w:rFonts w:ascii="Times New Roman" w:hAnsi="Times New Roman" w:cs="Times New Roman"/>
          <w:sz w:val="24"/>
          <w:szCs w:val="24"/>
          <w:lang w:val="en-GB"/>
        </w:rPr>
        <w:t>;</w:t>
      </w:r>
    </w:p>
    <w:p w14:paraId="55E7B32F" w14:textId="7AA0D540" w:rsidR="00A6787F" w:rsidRDefault="00A6787F" w:rsidP="00A6787F">
      <w:pPr>
        <w:spacing w:after="120" w:line="320" w:lineRule="exact"/>
        <w:jc w:val="both"/>
        <w:rPr>
          <w:rFonts w:ascii="Times New Roman" w:eastAsiaTheme="minorEastAsia" w:hAnsi="Times New Roman" w:cs="Times New Roman"/>
          <w:lang w:val="en-GB"/>
        </w:rPr>
      </w:pPr>
      <w:r w:rsidRPr="0014657F">
        <w:rPr>
          <w:rFonts w:ascii="Times New Roman" w:hAnsi="Times New Roman" w:cs="Times New Roman"/>
          <w:sz w:val="24"/>
          <w:szCs w:val="24"/>
          <w:lang w:val="en-GB"/>
        </w:rPr>
        <w:t xml:space="preserve">- “Hate crime workshop in Oslo”. The eligible applicant is National Police General Directorate within the Ministry of Interior in partnership with the </w:t>
      </w:r>
      <w:r w:rsidRPr="0014657F">
        <w:rPr>
          <w:rFonts w:ascii="Times New Roman" w:eastAsiaTheme="minorEastAsia" w:hAnsi="Times New Roman" w:cs="Times New Roman"/>
          <w:lang w:val="en-GB"/>
        </w:rPr>
        <w:t>Oslo Police District.</w:t>
      </w:r>
    </w:p>
    <w:p w14:paraId="047F12DF" w14:textId="77777777" w:rsidR="00791EA2" w:rsidRPr="00791EA2" w:rsidRDefault="00791EA2" w:rsidP="005C0F8D">
      <w:pPr>
        <w:spacing w:line="320" w:lineRule="exact"/>
        <w:ind w:firstLine="851"/>
        <w:jc w:val="both"/>
        <w:rPr>
          <w:rFonts w:ascii="Times New Roman" w:hAnsi="Times New Roman" w:cs="Times New Roman"/>
          <w:b/>
          <w:sz w:val="24"/>
          <w:szCs w:val="24"/>
          <w:lang w:val="en-US"/>
        </w:rPr>
      </w:pPr>
      <w:r w:rsidRPr="00791EA2">
        <w:rPr>
          <w:rFonts w:ascii="Times New Roman" w:hAnsi="Times New Roman" w:cs="Times New Roman"/>
          <w:b/>
          <w:sz w:val="24"/>
          <w:szCs w:val="24"/>
          <w:lang w:val="en-US"/>
        </w:rPr>
        <w:t>I</w:t>
      </w:r>
      <w:r w:rsidR="00EB1B31">
        <w:rPr>
          <w:rFonts w:ascii="Times New Roman" w:hAnsi="Times New Roman" w:cs="Times New Roman"/>
          <w:b/>
          <w:sz w:val="24"/>
          <w:szCs w:val="24"/>
          <w:lang w:val="en-US"/>
        </w:rPr>
        <w:t>I</w:t>
      </w:r>
      <w:r w:rsidRPr="00791EA2">
        <w:rPr>
          <w:rFonts w:ascii="Times New Roman" w:hAnsi="Times New Roman" w:cs="Times New Roman"/>
          <w:b/>
          <w:sz w:val="24"/>
          <w:szCs w:val="24"/>
          <w:lang w:val="en-US"/>
        </w:rPr>
        <w:t>I. Grant amount:</w:t>
      </w:r>
    </w:p>
    <w:p w14:paraId="1A03A50B" w14:textId="5D56EE5B" w:rsidR="00791EA2" w:rsidRDefault="005557E5" w:rsidP="005C0F8D">
      <w:pPr>
        <w:spacing w:line="320" w:lineRule="exact"/>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total eligible budget under this guideline for applicants </w:t>
      </w:r>
      <w:r w:rsidR="00791EA2">
        <w:rPr>
          <w:rFonts w:ascii="Times New Roman" w:hAnsi="Times New Roman" w:cs="Times New Roman"/>
          <w:sz w:val="24"/>
          <w:szCs w:val="24"/>
          <w:lang w:val="en-US"/>
        </w:rPr>
        <w:t xml:space="preserve">is </w:t>
      </w:r>
      <w:r w:rsidR="00D27962">
        <w:rPr>
          <w:rFonts w:ascii="Times New Roman" w:hAnsi="Times New Roman" w:cs="Times New Roman"/>
          <w:sz w:val="24"/>
          <w:szCs w:val="24"/>
          <w:lang w:val="en-US"/>
        </w:rPr>
        <w:t>82 451</w:t>
      </w:r>
      <w:r w:rsidR="00791EA2">
        <w:rPr>
          <w:rFonts w:ascii="Times New Roman" w:hAnsi="Times New Roman" w:cs="Times New Roman"/>
          <w:sz w:val="24"/>
          <w:szCs w:val="24"/>
          <w:lang w:val="en-US"/>
        </w:rPr>
        <w:t xml:space="preserve"> EUR.</w:t>
      </w:r>
    </w:p>
    <w:p w14:paraId="18DF5B09" w14:textId="77777777" w:rsidR="003F7DA5" w:rsidRPr="000C624D" w:rsidRDefault="00665CDB" w:rsidP="005C0F8D">
      <w:pPr>
        <w:spacing w:line="320" w:lineRule="exact"/>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final date for eligibility </w:t>
      </w:r>
      <w:r w:rsidR="003F7DA5">
        <w:rPr>
          <w:rFonts w:ascii="Times New Roman" w:hAnsi="Times New Roman" w:cs="Times New Roman"/>
          <w:sz w:val="24"/>
          <w:szCs w:val="24"/>
          <w:lang w:val="en-US"/>
        </w:rPr>
        <w:t xml:space="preserve">for support </w:t>
      </w:r>
      <w:r w:rsidR="00485247">
        <w:rPr>
          <w:rFonts w:ascii="Times New Roman" w:hAnsi="Times New Roman" w:cs="Times New Roman"/>
          <w:sz w:val="24"/>
          <w:szCs w:val="24"/>
          <w:lang w:val="en-US"/>
        </w:rPr>
        <w:t xml:space="preserve">under the Fund for Bilateral relations </w:t>
      </w:r>
      <w:r w:rsidR="003F7DA5">
        <w:rPr>
          <w:rFonts w:ascii="Times New Roman" w:hAnsi="Times New Roman" w:cs="Times New Roman"/>
          <w:sz w:val="24"/>
          <w:szCs w:val="24"/>
          <w:lang w:val="en-US"/>
        </w:rPr>
        <w:t>shall be 30 April 2025.</w:t>
      </w:r>
    </w:p>
    <w:p w14:paraId="4BB4190C" w14:textId="77777777" w:rsidR="00875E6F" w:rsidRPr="00F45FCB" w:rsidRDefault="00875E6F" w:rsidP="005C0F8D">
      <w:pPr>
        <w:spacing w:line="320" w:lineRule="exact"/>
        <w:ind w:firstLine="851"/>
        <w:jc w:val="both"/>
        <w:rPr>
          <w:b/>
          <w:lang w:val="en-US"/>
        </w:rPr>
      </w:pPr>
    </w:p>
    <w:p w14:paraId="5731C4B7" w14:textId="77777777" w:rsidR="00875E6F" w:rsidRPr="00F45FCB" w:rsidRDefault="00875E6F" w:rsidP="005C0F8D">
      <w:pPr>
        <w:spacing w:line="320" w:lineRule="exact"/>
        <w:ind w:firstLine="851"/>
        <w:jc w:val="both"/>
        <w:rPr>
          <w:rFonts w:ascii="Times New Roman" w:hAnsi="Times New Roman" w:cs="Times New Roman"/>
          <w:b/>
          <w:sz w:val="24"/>
          <w:szCs w:val="24"/>
          <w:lang w:val="en-US"/>
        </w:rPr>
      </w:pPr>
      <w:r w:rsidRPr="00F45FCB">
        <w:rPr>
          <w:rFonts w:ascii="Times New Roman" w:hAnsi="Times New Roman" w:cs="Times New Roman"/>
          <w:b/>
          <w:sz w:val="24"/>
          <w:szCs w:val="24"/>
          <w:lang w:val="en-US"/>
        </w:rPr>
        <w:t>I</w:t>
      </w:r>
      <w:r w:rsidR="00B87E4F">
        <w:rPr>
          <w:rFonts w:ascii="Times New Roman" w:hAnsi="Times New Roman" w:cs="Times New Roman"/>
          <w:b/>
          <w:sz w:val="24"/>
          <w:szCs w:val="24"/>
          <w:lang w:val="en-US"/>
        </w:rPr>
        <w:t>V</w:t>
      </w:r>
      <w:r w:rsidRPr="00F45FCB">
        <w:rPr>
          <w:rFonts w:ascii="Times New Roman" w:hAnsi="Times New Roman" w:cs="Times New Roman"/>
          <w:b/>
          <w:sz w:val="24"/>
          <w:szCs w:val="24"/>
          <w:lang w:val="en-US"/>
        </w:rPr>
        <w:t xml:space="preserve">. Eligible </w:t>
      </w:r>
      <w:r w:rsidR="00E81805" w:rsidRPr="00F45FCB">
        <w:rPr>
          <w:rFonts w:ascii="Times New Roman" w:hAnsi="Times New Roman" w:cs="Times New Roman"/>
          <w:b/>
          <w:sz w:val="24"/>
          <w:szCs w:val="24"/>
          <w:lang w:val="en-US"/>
        </w:rPr>
        <w:t>expenditures</w:t>
      </w:r>
      <w:r w:rsidR="00AC7F82">
        <w:rPr>
          <w:rFonts w:ascii="Times New Roman" w:hAnsi="Times New Roman" w:cs="Times New Roman"/>
          <w:b/>
          <w:sz w:val="24"/>
          <w:szCs w:val="24"/>
          <w:lang w:val="en-US"/>
        </w:rPr>
        <w:t xml:space="preserve"> and activities</w:t>
      </w:r>
      <w:r w:rsidRPr="00F45FCB">
        <w:rPr>
          <w:rFonts w:ascii="Times New Roman" w:hAnsi="Times New Roman" w:cs="Times New Roman"/>
          <w:b/>
          <w:sz w:val="24"/>
          <w:szCs w:val="24"/>
          <w:lang w:val="en-US"/>
        </w:rPr>
        <w:t xml:space="preserve"> under the fund for </w:t>
      </w:r>
      <w:r w:rsidR="00657970" w:rsidRPr="00F45FCB">
        <w:rPr>
          <w:rFonts w:ascii="Times New Roman" w:hAnsi="Times New Roman" w:cs="Times New Roman"/>
          <w:b/>
          <w:sz w:val="24"/>
          <w:szCs w:val="24"/>
          <w:lang w:val="en-US"/>
        </w:rPr>
        <w:t>bilateral</w:t>
      </w:r>
      <w:r w:rsidRPr="00F45FCB">
        <w:rPr>
          <w:rFonts w:ascii="Times New Roman" w:hAnsi="Times New Roman" w:cs="Times New Roman"/>
          <w:b/>
          <w:sz w:val="24"/>
          <w:szCs w:val="24"/>
          <w:lang w:val="en-US"/>
        </w:rPr>
        <w:t xml:space="preserve"> relations </w:t>
      </w:r>
    </w:p>
    <w:p w14:paraId="2B5474C7" w14:textId="77777777" w:rsidR="00DC3E38" w:rsidRPr="00F45FCB" w:rsidRDefault="005C6433" w:rsidP="005C0F8D">
      <w:pPr>
        <w:spacing w:line="320" w:lineRule="exact"/>
        <w:ind w:firstLine="851"/>
        <w:jc w:val="both"/>
        <w:rPr>
          <w:rFonts w:ascii="Times New Roman" w:hAnsi="Times New Roman" w:cs="Times New Roman"/>
          <w:sz w:val="24"/>
          <w:szCs w:val="24"/>
          <w:lang w:val="en-US"/>
        </w:rPr>
      </w:pPr>
      <w:r w:rsidRPr="00F45FCB">
        <w:rPr>
          <w:rFonts w:ascii="Times New Roman" w:hAnsi="Times New Roman" w:cs="Times New Roman"/>
          <w:sz w:val="24"/>
          <w:szCs w:val="24"/>
          <w:lang w:val="en-US"/>
        </w:rPr>
        <w:t>1. Expenditures related to the following activities are eligible for the fu</w:t>
      </w:r>
      <w:r w:rsidR="00657970">
        <w:rPr>
          <w:rFonts w:ascii="Times New Roman" w:hAnsi="Times New Roman" w:cs="Times New Roman"/>
          <w:sz w:val="24"/>
          <w:szCs w:val="24"/>
          <w:lang w:val="en-US"/>
        </w:rPr>
        <w:t>nd referred</w:t>
      </w:r>
      <w:r w:rsidR="00E75275">
        <w:rPr>
          <w:rFonts w:ascii="Times New Roman" w:hAnsi="Times New Roman" w:cs="Times New Roman"/>
          <w:sz w:val="24"/>
          <w:szCs w:val="24"/>
          <w:lang w:val="en-US"/>
        </w:rPr>
        <w:t xml:space="preserve"> to in Article 4.</w:t>
      </w:r>
      <w:r w:rsidRPr="00F45FCB">
        <w:rPr>
          <w:rFonts w:ascii="Times New Roman" w:hAnsi="Times New Roman" w:cs="Times New Roman"/>
          <w:sz w:val="24"/>
          <w:szCs w:val="24"/>
          <w:lang w:val="en-US"/>
        </w:rPr>
        <w:t>6</w:t>
      </w:r>
      <w:r w:rsidR="00CA4481">
        <w:rPr>
          <w:rFonts w:ascii="Times New Roman" w:hAnsi="Times New Roman" w:cs="Times New Roman"/>
          <w:sz w:val="24"/>
          <w:szCs w:val="24"/>
          <w:lang w:val="en-US"/>
        </w:rPr>
        <w:t xml:space="preserve"> of the Regulation</w:t>
      </w:r>
      <w:r w:rsidR="00EA4DEE">
        <w:rPr>
          <w:rFonts w:ascii="Times New Roman" w:hAnsi="Times New Roman" w:cs="Times New Roman"/>
          <w:sz w:val="24"/>
          <w:szCs w:val="24"/>
          <w:lang w:val="en-US"/>
        </w:rPr>
        <w:t xml:space="preserve"> on the implementation of the Norwegian Financial Mechanism 2014-2021 (Regulation) as per Art. 8.8 of the Regulation</w:t>
      </w:r>
      <w:r w:rsidRPr="00F45FCB">
        <w:rPr>
          <w:rFonts w:ascii="Times New Roman" w:hAnsi="Times New Roman" w:cs="Times New Roman"/>
          <w:sz w:val="24"/>
          <w:szCs w:val="24"/>
          <w:lang w:val="en-US"/>
        </w:rPr>
        <w:t>:</w:t>
      </w:r>
    </w:p>
    <w:p w14:paraId="6210B707" w14:textId="77777777" w:rsidR="005C6433" w:rsidRPr="00F45FCB" w:rsidRDefault="00326D8D" w:rsidP="005C0F8D">
      <w:pPr>
        <w:spacing w:line="320" w:lineRule="exact"/>
        <w:ind w:firstLine="851"/>
        <w:jc w:val="both"/>
        <w:rPr>
          <w:rFonts w:ascii="Times New Roman" w:hAnsi="Times New Roman" w:cs="Times New Roman"/>
          <w:sz w:val="24"/>
          <w:szCs w:val="24"/>
          <w:lang w:val="en-US"/>
        </w:rPr>
      </w:pPr>
      <w:r w:rsidRPr="00F45FCB">
        <w:rPr>
          <w:rFonts w:ascii="Times New Roman" w:hAnsi="Times New Roman" w:cs="Times New Roman"/>
          <w:sz w:val="24"/>
          <w:szCs w:val="24"/>
          <w:lang w:val="en-US"/>
        </w:rPr>
        <w:t xml:space="preserve">- </w:t>
      </w:r>
      <w:r w:rsidR="00F76993">
        <w:rPr>
          <w:rFonts w:ascii="Times New Roman" w:hAnsi="Times New Roman" w:cs="Times New Roman"/>
          <w:sz w:val="24"/>
          <w:szCs w:val="24"/>
          <w:lang w:val="en-US"/>
        </w:rPr>
        <w:t>a</w:t>
      </w:r>
      <w:r w:rsidR="00F76993" w:rsidRPr="00F45FCB">
        <w:rPr>
          <w:rFonts w:ascii="Times New Roman" w:hAnsi="Times New Roman" w:cs="Times New Roman"/>
          <w:sz w:val="24"/>
          <w:szCs w:val="24"/>
          <w:lang w:val="en-US"/>
        </w:rPr>
        <w:t>ctivities</w:t>
      </w:r>
      <w:r w:rsidR="005C6433" w:rsidRPr="00F45FCB">
        <w:rPr>
          <w:rFonts w:ascii="Times New Roman" w:hAnsi="Times New Roman" w:cs="Times New Roman"/>
          <w:sz w:val="24"/>
          <w:szCs w:val="24"/>
          <w:lang w:val="en-US"/>
        </w:rPr>
        <w:t xml:space="preserve"> aiming at strengthening bilateral relations between Bulgaria and Norway;</w:t>
      </w:r>
    </w:p>
    <w:p w14:paraId="364A8559" w14:textId="77777777" w:rsidR="005C6433" w:rsidRPr="00F45FCB" w:rsidRDefault="00326D8D" w:rsidP="005C0F8D">
      <w:pPr>
        <w:spacing w:line="320" w:lineRule="exact"/>
        <w:ind w:firstLine="851"/>
        <w:jc w:val="both"/>
        <w:rPr>
          <w:rFonts w:ascii="Times New Roman" w:hAnsi="Times New Roman" w:cs="Times New Roman"/>
          <w:sz w:val="24"/>
          <w:szCs w:val="24"/>
          <w:lang w:val="en-US"/>
        </w:rPr>
      </w:pPr>
      <w:r w:rsidRPr="00F45FCB">
        <w:rPr>
          <w:rFonts w:ascii="Times New Roman" w:hAnsi="Times New Roman" w:cs="Times New Roman"/>
          <w:sz w:val="24"/>
          <w:szCs w:val="24"/>
          <w:lang w:val="en-US"/>
        </w:rPr>
        <w:t>- t</w:t>
      </w:r>
      <w:r w:rsidR="005C6433" w:rsidRPr="00F45FCB">
        <w:rPr>
          <w:rFonts w:ascii="Times New Roman" w:hAnsi="Times New Roman" w:cs="Times New Roman"/>
          <w:sz w:val="24"/>
          <w:szCs w:val="24"/>
          <w:lang w:val="en-US"/>
        </w:rPr>
        <w:t>he search for partners for donor partnership projects prior to or during the preparation of a project application, the development of such partnerships and the preparation of an application for a donor partnership project;</w:t>
      </w:r>
    </w:p>
    <w:p w14:paraId="63EA8032" w14:textId="77777777" w:rsidR="005C6433" w:rsidRPr="00F45FCB" w:rsidRDefault="005C6433" w:rsidP="005C0F8D">
      <w:pPr>
        <w:spacing w:line="320" w:lineRule="exact"/>
        <w:ind w:firstLine="851"/>
        <w:jc w:val="both"/>
        <w:rPr>
          <w:rFonts w:ascii="Times New Roman" w:hAnsi="Times New Roman" w:cs="Times New Roman"/>
          <w:sz w:val="24"/>
          <w:szCs w:val="24"/>
          <w:lang w:val="en-US"/>
        </w:rPr>
      </w:pPr>
      <w:r w:rsidRPr="00F45FCB">
        <w:rPr>
          <w:rFonts w:ascii="Times New Roman" w:hAnsi="Times New Roman" w:cs="Times New Roman"/>
          <w:sz w:val="24"/>
          <w:szCs w:val="24"/>
          <w:lang w:val="en-US"/>
        </w:rPr>
        <w:t>- networking, exchange, sharing and transfer of knowledge, technology, experiences and best practices between entities in Bulgaria and entities in Norway, and/or international organizations;</w:t>
      </w:r>
    </w:p>
    <w:p w14:paraId="3644E857" w14:textId="77777777" w:rsidR="00DC3E38" w:rsidRDefault="00326D8D" w:rsidP="005C0F8D">
      <w:pPr>
        <w:spacing w:line="320" w:lineRule="exact"/>
        <w:ind w:firstLine="851"/>
        <w:jc w:val="both"/>
        <w:rPr>
          <w:rFonts w:ascii="Times New Roman" w:hAnsi="Times New Roman" w:cs="Times New Roman"/>
          <w:sz w:val="24"/>
          <w:szCs w:val="24"/>
          <w:lang w:val="en-US"/>
        </w:rPr>
      </w:pPr>
      <w:r w:rsidRPr="00F45FCB">
        <w:rPr>
          <w:rFonts w:ascii="Times New Roman" w:hAnsi="Times New Roman" w:cs="Times New Roman"/>
          <w:sz w:val="24"/>
          <w:szCs w:val="24"/>
          <w:lang w:val="en-US"/>
        </w:rPr>
        <w:t xml:space="preserve">- activities aiming at strengthening cooperation and exchanging </w:t>
      </w:r>
      <w:r w:rsidR="00700474" w:rsidRPr="00F45FCB">
        <w:rPr>
          <w:rFonts w:ascii="Times New Roman" w:hAnsi="Times New Roman" w:cs="Times New Roman"/>
          <w:sz w:val="24"/>
          <w:szCs w:val="24"/>
          <w:lang w:val="en-US"/>
        </w:rPr>
        <w:t xml:space="preserve">experiences and best practices between the </w:t>
      </w:r>
      <w:r w:rsidR="00700474" w:rsidRPr="00FE49CB">
        <w:rPr>
          <w:rFonts w:ascii="Times New Roman" w:hAnsi="Times New Roman" w:cs="Times New Roman"/>
          <w:sz w:val="24"/>
          <w:szCs w:val="24"/>
          <w:lang w:val="en-US"/>
        </w:rPr>
        <w:t>Programme Op</w:t>
      </w:r>
      <w:r w:rsidR="00FE49CB">
        <w:rPr>
          <w:rFonts w:ascii="Times New Roman" w:hAnsi="Times New Roman" w:cs="Times New Roman"/>
          <w:sz w:val="24"/>
          <w:szCs w:val="24"/>
          <w:lang w:val="en-US"/>
        </w:rPr>
        <w:t>e</w:t>
      </w:r>
      <w:r w:rsidR="00700474" w:rsidRPr="00FE49CB">
        <w:rPr>
          <w:rFonts w:ascii="Times New Roman" w:hAnsi="Times New Roman" w:cs="Times New Roman"/>
          <w:sz w:val="24"/>
          <w:szCs w:val="24"/>
          <w:lang w:val="en-US"/>
        </w:rPr>
        <w:t>rator</w:t>
      </w:r>
      <w:r w:rsidR="00FE49CB">
        <w:rPr>
          <w:rFonts w:ascii="Times New Roman" w:hAnsi="Times New Roman" w:cs="Times New Roman"/>
          <w:sz w:val="24"/>
          <w:szCs w:val="24"/>
          <w:lang w:val="en-US"/>
        </w:rPr>
        <w:t>s</w:t>
      </w:r>
      <w:r w:rsidR="00700474" w:rsidRPr="00FE49CB">
        <w:rPr>
          <w:rFonts w:ascii="Times New Roman" w:hAnsi="Times New Roman" w:cs="Times New Roman"/>
          <w:sz w:val="24"/>
          <w:szCs w:val="24"/>
          <w:lang w:val="en-US"/>
        </w:rPr>
        <w:t xml:space="preserve"> </w:t>
      </w:r>
      <w:r w:rsidR="00700474" w:rsidRPr="00F45FCB">
        <w:rPr>
          <w:rFonts w:ascii="Times New Roman" w:hAnsi="Times New Roman" w:cs="Times New Roman"/>
          <w:sz w:val="24"/>
          <w:szCs w:val="24"/>
          <w:lang w:val="en-US"/>
        </w:rPr>
        <w:t xml:space="preserve">and similar entities within the Bulgaria and Norway, as well as international </w:t>
      </w:r>
      <w:r w:rsidR="00F45FCB" w:rsidRPr="00F45FCB">
        <w:rPr>
          <w:rFonts w:ascii="Times New Roman" w:hAnsi="Times New Roman" w:cs="Times New Roman"/>
          <w:sz w:val="24"/>
          <w:szCs w:val="24"/>
          <w:lang w:val="en-US"/>
        </w:rPr>
        <w:t>organizations</w:t>
      </w:r>
      <w:r w:rsidR="00700474" w:rsidRPr="00F45FCB">
        <w:rPr>
          <w:rFonts w:ascii="Times New Roman" w:hAnsi="Times New Roman" w:cs="Times New Roman"/>
          <w:sz w:val="24"/>
          <w:szCs w:val="24"/>
          <w:lang w:val="en-US"/>
        </w:rPr>
        <w:t>, provided at least one entity within Norway is involved in the activity.</w:t>
      </w:r>
    </w:p>
    <w:p w14:paraId="0C9213D8" w14:textId="77777777" w:rsidR="00192063" w:rsidRDefault="00192063" w:rsidP="005C0F8D">
      <w:pPr>
        <w:spacing w:line="320" w:lineRule="exact"/>
        <w:ind w:firstLine="851"/>
        <w:jc w:val="both"/>
        <w:rPr>
          <w:rFonts w:ascii="Times New Roman" w:hAnsi="Times New Roman" w:cs="Times New Roman"/>
          <w:sz w:val="24"/>
          <w:szCs w:val="24"/>
          <w:lang w:val="en-US"/>
        </w:rPr>
      </w:pPr>
    </w:p>
    <w:p w14:paraId="5B100ED2" w14:textId="351479FB" w:rsidR="00851B41" w:rsidRDefault="00B87E4F" w:rsidP="005C0F8D">
      <w:pPr>
        <w:spacing w:line="320" w:lineRule="exact"/>
        <w:ind w:firstLine="851"/>
        <w:jc w:val="both"/>
        <w:rPr>
          <w:rFonts w:ascii="Times New Roman" w:hAnsi="Times New Roman" w:cs="Times New Roman"/>
          <w:b/>
          <w:sz w:val="24"/>
          <w:szCs w:val="24"/>
          <w:lang w:val="en-US"/>
        </w:rPr>
      </w:pPr>
      <w:r>
        <w:rPr>
          <w:rFonts w:ascii="Times New Roman" w:hAnsi="Times New Roman" w:cs="Times New Roman"/>
          <w:b/>
          <w:sz w:val="24"/>
          <w:szCs w:val="24"/>
          <w:lang w:val="en-US"/>
        </w:rPr>
        <w:t>V</w:t>
      </w:r>
      <w:r w:rsidR="00657970" w:rsidRPr="00657970">
        <w:rPr>
          <w:rFonts w:ascii="Times New Roman" w:hAnsi="Times New Roman" w:cs="Times New Roman"/>
          <w:b/>
          <w:sz w:val="24"/>
          <w:szCs w:val="24"/>
          <w:lang w:val="en-US"/>
        </w:rPr>
        <w:t xml:space="preserve">. </w:t>
      </w:r>
      <w:r w:rsidR="00851B41">
        <w:rPr>
          <w:rFonts w:ascii="Times New Roman" w:hAnsi="Times New Roman" w:cs="Times New Roman"/>
          <w:b/>
          <w:sz w:val="24"/>
          <w:szCs w:val="24"/>
          <w:lang w:val="en-US"/>
        </w:rPr>
        <w:t>Indicative timeline</w:t>
      </w:r>
    </w:p>
    <w:p w14:paraId="6D9868F3" w14:textId="77777777" w:rsidR="00640147" w:rsidRDefault="00640147" w:rsidP="005C0F8D">
      <w:pPr>
        <w:spacing w:line="320" w:lineRule="exact"/>
        <w:ind w:firstLine="851"/>
        <w:jc w:val="both"/>
        <w:rPr>
          <w:rFonts w:ascii="Times New Roman" w:hAnsi="Times New Roman" w:cs="Times New Roman"/>
          <w:b/>
          <w:sz w:val="24"/>
          <w:szCs w:val="24"/>
          <w:lang w:val="en-US"/>
        </w:rPr>
      </w:pPr>
    </w:p>
    <w:p w14:paraId="121587D3" w14:textId="2F6EC419" w:rsidR="00657970" w:rsidRPr="0014657F" w:rsidRDefault="00657970" w:rsidP="005C0F8D">
      <w:pPr>
        <w:spacing w:line="320" w:lineRule="exact"/>
        <w:ind w:firstLine="851"/>
        <w:jc w:val="both"/>
        <w:rPr>
          <w:rFonts w:ascii="Times New Roman" w:hAnsi="Times New Roman" w:cs="Times New Roman"/>
          <w:sz w:val="24"/>
          <w:szCs w:val="24"/>
        </w:rPr>
      </w:pPr>
      <w:r w:rsidRPr="000F7376">
        <w:rPr>
          <w:rFonts w:ascii="Times New Roman" w:hAnsi="Times New Roman" w:cs="Times New Roman"/>
          <w:sz w:val="24"/>
          <w:szCs w:val="24"/>
          <w:lang w:val="en-US"/>
        </w:rPr>
        <w:lastRenderedPageBreak/>
        <w:t>Dead</w:t>
      </w:r>
      <w:r w:rsidR="00851B41" w:rsidRPr="000F7376">
        <w:rPr>
          <w:rFonts w:ascii="Times New Roman" w:hAnsi="Times New Roman" w:cs="Times New Roman"/>
          <w:sz w:val="24"/>
          <w:szCs w:val="24"/>
          <w:lang w:val="en-US"/>
        </w:rPr>
        <w:t>line</w:t>
      </w:r>
      <w:r w:rsidRPr="000F7376">
        <w:rPr>
          <w:rFonts w:ascii="Times New Roman" w:hAnsi="Times New Roman" w:cs="Times New Roman"/>
          <w:sz w:val="24"/>
          <w:szCs w:val="24"/>
          <w:lang w:val="en-US"/>
        </w:rPr>
        <w:t xml:space="preserve"> for subm</w:t>
      </w:r>
      <w:r w:rsidR="00640147">
        <w:rPr>
          <w:rFonts w:ascii="Times New Roman" w:hAnsi="Times New Roman" w:cs="Times New Roman"/>
          <w:sz w:val="24"/>
          <w:szCs w:val="24"/>
          <w:lang w:val="en-US"/>
        </w:rPr>
        <w:t xml:space="preserve">ission of bilateral initiatives: </w:t>
      </w:r>
      <w:r w:rsidR="008B1595">
        <w:rPr>
          <w:rFonts w:ascii="Times New Roman" w:hAnsi="Times New Roman" w:cs="Times New Roman"/>
          <w:sz w:val="24"/>
          <w:szCs w:val="24"/>
        </w:rPr>
        <w:t>1</w:t>
      </w:r>
      <w:r w:rsidR="0014657F">
        <w:rPr>
          <w:rFonts w:ascii="Times New Roman" w:hAnsi="Times New Roman" w:cs="Times New Roman"/>
          <w:sz w:val="24"/>
          <w:szCs w:val="24"/>
          <w:lang w:val="en-US"/>
        </w:rPr>
        <w:t>4</w:t>
      </w:r>
      <w:r w:rsidR="008B1595">
        <w:rPr>
          <w:rFonts w:ascii="Times New Roman" w:hAnsi="Times New Roman" w:cs="Times New Roman"/>
          <w:sz w:val="24"/>
          <w:szCs w:val="24"/>
        </w:rPr>
        <w:t>.08.2023</w:t>
      </w:r>
    </w:p>
    <w:p w14:paraId="5F0874F4" w14:textId="446C29FD" w:rsidR="00851B41" w:rsidRPr="0014657F" w:rsidRDefault="00851B41" w:rsidP="005C0F8D">
      <w:pPr>
        <w:spacing w:line="320" w:lineRule="exact"/>
        <w:ind w:firstLine="851"/>
        <w:jc w:val="both"/>
        <w:rPr>
          <w:rFonts w:ascii="Times New Roman" w:hAnsi="Times New Roman" w:cs="Times New Roman"/>
          <w:sz w:val="24"/>
          <w:szCs w:val="24"/>
        </w:rPr>
      </w:pPr>
      <w:r w:rsidRPr="000F7376">
        <w:rPr>
          <w:rFonts w:ascii="Times New Roman" w:hAnsi="Times New Roman" w:cs="Times New Roman"/>
          <w:sz w:val="24"/>
          <w:szCs w:val="24"/>
          <w:lang w:val="en-US"/>
        </w:rPr>
        <w:t xml:space="preserve">Beginning of the assessment process: </w:t>
      </w:r>
      <w:r w:rsidR="008B1595">
        <w:rPr>
          <w:rFonts w:ascii="Times New Roman" w:hAnsi="Times New Roman" w:cs="Times New Roman"/>
          <w:sz w:val="24"/>
          <w:szCs w:val="24"/>
        </w:rPr>
        <w:t>1</w:t>
      </w:r>
      <w:r w:rsidR="0014657F">
        <w:rPr>
          <w:rFonts w:ascii="Times New Roman" w:hAnsi="Times New Roman" w:cs="Times New Roman"/>
          <w:sz w:val="24"/>
          <w:szCs w:val="24"/>
          <w:lang w:val="en-US"/>
        </w:rPr>
        <w:t>5</w:t>
      </w:r>
      <w:r w:rsidR="008B1595">
        <w:rPr>
          <w:rFonts w:ascii="Times New Roman" w:hAnsi="Times New Roman" w:cs="Times New Roman"/>
          <w:sz w:val="24"/>
          <w:szCs w:val="24"/>
        </w:rPr>
        <w:t xml:space="preserve">.08.2023 </w:t>
      </w:r>
    </w:p>
    <w:p w14:paraId="627BA388" w14:textId="2399DD5D" w:rsidR="00851B41" w:rsidRPr="000F7376" w:rsidRDefault="00851B41" w:rsidP="005C0F8D">
      <w:pPr>
        <w:spacing w:line="320" w:lineRule="exact"/>
        <w:ind w:firstLine="851"/>
        <w:jc w:val="both"/>
        <w:rPr>
          <w:rFonts w:ascii="Times New Roman" w:hAnsi="Times New Roman" w:cs="Times New Roman"/>
          <w:sz w:val="24"/>
          <w:szCs w:val="24"/>
          <w:lang w:val="en-US"/>
        </w:rPr>
      </w:pPr>
      <w:r w:rsidRPr="000F7376">
        <w:rPr>
          <w:rFonts w:ascii="Times New Roman" w:hAnsi="Times New Roman" w:cs="Times New Roman"/>
          <w:sz w:val="24"/>
          <w:szCs w:val="24"/>
          <w:lang w:val="en-US"/>
        </w:rPr>
        <w:t xml:space="preserve">End of the assessment process: </w:t>
      </w:r>
      <w:r w:rsidR="008B1595">
        <w:rPr>
          <w:rFonts w:ascii="Times New Roman" w:hAnsi="Times New Roman" w:cs="Times New Roman"/>
          <w:sz w:val="24"/>
          <w:szCs w:val="24"/>
        </w:rPr>
        <w:t>15.09.2023</w:t>
      </w:r>
    </w:p>
    <w:p w14:paraId="3C3D9204" w14:textId="0B92F914" w:rsidR="00851B41" w:rsidRDefault="00851B41" w:rsidP="005C0F8D">
      <w:pPr>
        <w:spacing w:line="320" w:lineRule="exact"/>
        <w:ind w:firstLine="851"/>
        <w:jc w:val="both"/>
        <w:rPr>
          <w:rFonts w:ascii="Times New Roman" w:hAnsi="Times New Roman" w:cs="Times New Roman"/>
          <w:sz w:val="24"/>
          <w:szCs w:val="24"/>
          <w:lang w:val="en-US"/>
        </w:rPr>
      </w:pPr>
      <w:r w:rsidRPr="000F7376">
        <w:rPr>
          <w:rFonts w:ascii="Times New Roman" w:hAnsi="Times New Roman" w:cs="Times New Roman"/>
          <w:sz w:val="24"/>
          <w:szCs w:val="24"/>
          <w:lang w:val="en-US"/>
        </w:rPr>
        <w:t>Signing of the contract:</w:t>
      </w:r>
      <w:r w:rsidR="001F14DE" w:rsidRPr="000F7376">
        <w:rPr>
          <w:rFonts w:ascii="Times New Roman" w:hAnsi="Times New Roman" w:cs="Times New Roman"/>
          <w:sz w:val="24"/>
          <w:szCs w:val="24"/>
          <w:lang w:val="en-US"/>
        </w:rPr>
        <w:t xml:space="preserve"> </w:t>
      </w:r>
      <w:r w:rsidR="008B1595">
        <w:rPr>
          <w:rFonts w:ascii="Times New Roman" w:hAnsi="Times New Roman" w:cs="Times New Roman"/>
          <w:sz w:val="24"/>
          <w:szCs w:val="24"/>
        </w:rPr>
        <w:t>22.09.2023</w:t>
      </w:r>
      <w:r w:rsidR="000F7376" w:rsidRPr="000F7376">
        <w:rPr>
          <w:rFonts w:ascii="Times New Roman" w:hAnsi="Times New Roman" w:cs="Times New Roman"/>
          <w:sz w:val="24"/>
          <w:szCs w:val="24"/>
          <w:lang w:val="en-US"/>
        </w:rPr>
        <w:t xml:space="preserve"> </w:t>
      </w:r>
    </w:p>
    <w:p w14:paraId="211775BA" w14:textId="4CAF360B" w:rsidR="00192063" w:rsidRDefault="00192063" w:rsidP="005C0F8D">
      <w:pPr>
        <w:spacing w:line="320" w:lineRule="exact"/>
        <w:ind w:firstLine="851"/>
        <w:jc w:val="both"/>
        <w:rPr>
          <w:rFonts w:ascii="Times New Roman" w:hAnsi="Times New Roman" w:cs="Times New Roman"/>
          <w:sz w:val="24"/>
          <w:szCs w:val="24"/>
          <w:lang w:val="en-US"/>
        </w:rPr>
      </w:pPr>
    </w:p>
    <w:p w14:paraId="0B01D968" w14:textId="77777777" w:rsidR="00640147" w:rsidRDefault="00640147" w:rsidP="005C0F8D">
      <w:pPr>
        <w:spacing w:line="320" w:lineRule="exact"/>
        <w:ind w:firstLine="851"/>
        <w:jc w:val="both"/>
        <w:rPr>
          <w:rFonts w:ascii="Times New Roman" w:hAnsi="Times New Roman" w:cs="Times New Roman"/>
          <w:sz w:val="24"/>
          <w:szCs w:val="24"/>
          <w:lang w:val="en-US"/>
        </w:rPr>
      </w:pPr>
    </w:p>
    <w:p w14:paraId="1C0C24FB" w14:textId="77777777" w:rsidR="00B5620C" w:rsidRPr="00B5620C" w:rsidRDefault="00B5620C" w:rsidP="005C0F8D">
      <w:pPr>
        <w:spacing w:line="320" w:lineRule="exact"/>
        <w:ind w:firstLine="851"/>
        <w:jc w:val="both"/>
        <w:rPr>
          <w:rFonts w:ascii="Times New Roman" w:hAnsi="Times New Roman" w:cs="Times New Roman"/>
          <w:b/>
          <w:sz w:val="24"/>
          <w:szCs w:val="24"/>
          <w:lang w:val="en-US"/>
        </w:rPr>
      </w:pPr>
      <w:r>
        <w:rPr>
          <w:rFonts w:ascii="Times New Roman" w:hAnsi="Times New Roman" w:cs="Times New Roman"/>
          <w:b/>
          <w:sz w:val="24"/>
          <w:szCs w:val="24"/>
          <w:lang w:val="en-US"/>
        </w:rPr>
        <w:t>V</w:t>
      </w:r>
      <w:r w:rsidRPr="00B5620C">
        <w:rPr>
          <w:rFonts w:ascii="Times New Roman" w:hAnsi="Times New Roman" w:cs="Times New Roman"/>
          <w:b/>
          <w:sz w:val="24"/>
          <w:szCs w:val="24"/>
          <w:lang w:val="en-US"/>
        </w:rPr>
        <w:t>I. Submission of the application</w:t>
      </w:r>
      <w:r>
        <w:rPr>
          <w:rFonts w:ascii="Times New Roman" w:hAnsi="Times New Roman" w:cs="Times New Roman"/>
          <w:b/>
          <w:sz w:val="24"/>
          <w:szCs w:val="24"/>
          <w:lang w:val="en-US"/>
        </w:rPr>
        <w:t xml:space="preserve"> form</w:t>
      </w:r>
      <w:r w:rsidRPr="00B5620C">
        <w:rPr>
          <w:rFonts w:ascii="Times New Roman" w:hAnsi="Times New Roman" w:cs="Times New Roman"/>
          <w:b/>
          <w:sz w:val="24"/>
          <w:szCs w:val="24"/>
          <w:lang w:val="en-US"/>
        </w:rPr>
        <w:t>.</w:t>
      </w:r>
    </w:p>
    <w:p w14:paraId="18F384CE" w14:textId="61CA90C3" w:rsidR="00291F1A" w:rsidRDefault="00B5620C" w:rsidP="005C0F8D">
      <w:pPr>
        <w:spacing w:line="320" w:lineRule="exact"/>
        <w:ind w:firstLine="851"/>
        <w:jc w:val="both"/>
        <w:rPr>
          <w:rFonts w:ascii="Times New Roman" w:hAnsi="Times New Roman" w:cs="Times New Roman"/>
          <w:sz w:val="24"/>
          <w:szCs w:val="24"/>
          <w:lang w:val="en-US"/>
        </w:rPr>
      </w:pPr>
      <w:r w:rsidRPr="00B5620C">
        <w:rPr>
          <w:rFonts w:ascii="Times New Roman" w:hAnsi="Times New Roman" w:cs="Times New Roman"/>
          <w:sz w:val="24"/>
          <w:szCs w:val="24"/>
          <w:lang w:val="en-US"/>
        </w:rPr>
        <w:t xml:space="preserve">The applicant should submit the Application form (Annex 5.10.1) in </w:t>
      </w:r>
      <w:r w:rsidR="006542F8" w:rsidRPr="00B5620C">
        <w:rPr>
          <w:rFonts w:ascii="Times New Roman" w:hAnsi="Times New Roman" w:cs="Times New Roman"/>
          <w:sz w:val="24"/>
          <w:szCs w:val="24"/>
          <w:lang w:val="en-US"/>
        </w:rPr>
        <w:t>English</w:t>
      </w:r>
      <w:r w:rsidRPr="00B5620C">
        <w:rPr>
          <w:rFonts w:ascii="Times New Roman" w:hAnsi="Times New Roman" w:cs="Times New Roman"/>
          <w:sz w:val="24"/>
          <w:szCs w:val="24"/>
          <w:lang w:val="en-US"/>
        </w:rPr>
        <w:t xml:space="preserve">. The Application forms for bilateral initiatives should be submitted via </w:t>
      </w:r>
      <w:r w:rsidR="00EA4DEE">
        <w:rPr>
          <w:rFonts w:ascii="Times New Roman" w:hAnsi="Times New Roman" w:cs="Times New Roman"/>
          <w:sz w:val="24"/>
          <w:szCs w:val="24"/>
          <w:lang w:val="en-US"/>
        </w:rPr>
        <w:t xml:space="preserve">the following </w:t>
      </w:r>
      <w:r w:rsidRPr="00B5620C">
        <w:rPr>
          <w:rFonts w:ascii="Times New Roman" w:hAnsi="Times New Roman" w:cs="Times New Roman"/>
          <w:sz w:val="24"/>
          <w:szCs w:val="24"/>
          <w:lang w:val="en-US"/>
        </w:rPr>
        <w:t>email</w:t>
      </w:r>
      <w:r w:rsidR="00E13AD8">
        <w:rPr>
          <w:rFonts w:ascii="Times New Roman" w:hAnsi="Times New Roman" w:cs="Times New Roman"/>
          <w:sz w:val="24"/>
          <w:szCs w:val="24"/>
          <w:lang w:val="en-US"/>
        </w:rPr>
        <w:t>:</w:t>
      </w:r>
      <w:r w:rsidRPr="00B5620C">
        <w:rPr>
          <w:rFonts w:ascii="Times New Roman" w:hAnsi="Times New Roman" w:cs="Times New Roman"/>
          <w:sz w:val="24"/>
          <w:szCs w:val="24"/>
          <w:lang w:val="en-US"/>
        </w:rPr>
        <w:t xml:space="preserve"> </w:t>
      </w:r>
      <w:r w:rsidR="00EA4DEE">
        <w:rPr>
          <w:rFonts w:ascii="Times New Roman" w:hAnsi="Times New Roman" w:cs="Times New Roman"/>
          <w:sz w:val="24"/>
          <w:szCs w:val="24"/>
          <w:lang w:val="en-US"/>
        </w:rPr>
        <w:t>dmp@mvr</w:t>
      </w:r>
      <w:r w:rsidR="00EA4DEE" w:rsidRPr="00EA4DEE">
        <w:rPr>
          <w:rFonts w:ascii="Times New Roman" w:hAnsi="Times New Roman" w:cs="Times New Roman"/>
          <w:sz w:val="24"/>
          <w:szCs w:val="24"/>
          <w:lang w:val="en-US"/>
        </w:rPr>
        <w:t>.bg</w:t>
      </w:r>
      <w:r w:rsidRPr="00EA4DEE">
        <w:rPr>
          <w:rFonts w:ascii="Times New Roman" w:hAnsi="Times New Roman" w:cs="Times New Roman"/>
          <w:sz w:val="24"/>
          <w:szCs w:val="24"/>
          <w:lang w:val="en-US"/>
        </w:rPr>
        <w:t>.</w:t>
      </w:r>
      <w:r w:rsidRPr="00B5620C">
        <w:rPr>
          <w:rFonts w:ascii="Times New Roman" w:hAnsi="Times New Roman" w:cs="Times New Roman"/>
          <w:sz w:val="24"/>
          <w:szCs w:val="24"/>
          <w:lang w:val="en-US"/>
        </w:rPr>
        <w:t xml:space="preserve"> The Application form may be signed by any of the parties (either the applicant or the partner). Attached to the application forms the applicant should submit a letter of intention, e-mail correspond</w:t>
      </w:r>
      <w:bookmarkStart w:id="0" w:name="_GoBack"/>
      <w:bookmarkEnd w:id="0"/>
      <w:r w:rsidRPr="00B5620C">
        <w:rPr>
          <w:rFonts w:ascii="Times New Roman" w:hAnsi="Times New Roman" w:cs="Times New Roman"/>
          <w:sz w:val="24"/>
          <w:szCs w:val="24"/>
          <w:lang w:val="en-US"/>
        </w:rPr>
        <w:t>ence or other document/ correspondence proving that the applicant has established a contact with a potential project partner.</w:t>
      </w:r>
    </w:p>
    <w:p w14:paraId="513AA196" w14:textId="77777777" w:rsidR="00657970" w:rsidRDefault="00657970" w:rsidP="005C0F8D">
      <w:pPr>
        <w:spacing w:line="320" w:lineRule="exact"/>
        <w:ind w:firstLine="851"/>
        <w:jc w:val="both"/>
        <w:rPr>
          <w:rFonts w:ascii="Times New Roman" w:hAnsi="Times New Roman" w:cs="Times New Roman"/>
          <w:b/>
          <w:sz w:val="24"/>
          <w:szCs w:val="24"/>
          <w:lang w:val="en-US"/>
        </w:rPr>
      </w:pPr>
      <w:r>
        <w:rPr>
          <w:rFonts w:ascii="Times New Roman" w:hAnsi="Times New Roman" w:cs="Times New Roman"/>
          <w:b/>
          <w:sz w:val="24"/>
          <w:szCs w:val="24"/>
          <w:lang w:val="en-US"/>
        </w:rPr>
        <w:t>V</w:t>
      </w:r>
      <w:r w:rsidR="00B5620C">
        <w:rPr>
          <w:rFonts w:ascii="Times New Roman" w:hAnsi="Times New Roman" w:cs="Times New Roman"/>
          <w:b/>
          <w:sz w:val="24"/>
          <w:szCs w:val="24"/>
          <w:lang w:val="en-US"/>
        </w:rPr>
        <w:t>I</w:t>
      </w:r>
      <w:r w:rsidR="00B87E4F">
        <w:rPr>
          <w:rFonts w:ascii="Times New Roman" w:hAnsi="Times New Roman" w:cs="Times New Roman"/>
          <w:b/>
          <w:sz w:val="24"/>
          <w:szCs w:val="24"/>
          <w:lang w:val="en-US"/>
        </w:rPr>
        <w:t>I</w:t>
      </w:r>
      <w:r>
        <w:rPr>
          <w:rFonts w:ascii="Times New Roman" w:hAnsi="Times New Roman" w:cs="Times New Roman"/>
          <w:b/>
          <w:sz w:val="24"/>
          <w:szCs w:val="24"/>
          <w:lang w:val="en-US"/>
        </w:rPr>
        <w:t>. Selection procedure</w:t>
      </w:r>
      <w:r w:rsidR="00671670">
        <w:rPr>
          <w:rFonts w:ascii="Times New Roman" w:hAnsi="Times New Roman" w:cs="Times New Roman"/>
          <w:b/>
          <w:sz w:val="24"/>
          <w:szCs w:val="24"/>
          <w:lang w:val="en-US"/>
        </w:rPr>
        <w:t>:</w:t>
      </w:r>
    </w:p>
    <w:p w14:paraId="5155CDA9" w14:textId="77777777" w:rsidR="00657970" w:rsidRDefault="00657970" w:rsidP="005C0F8D">
      <w:pPr>
        <w:spacing w:line="320" w:lineRule="exact"/>
        <w:ind w:firstLine="851"/>
        <w:jc w:val="both"/>
        <w:rPr>
          <w:rFonts w:ascii="Times New Roman" w:hAnsi="Times New Roman" w:cs="Times New Roman"/>
          <w:sz w:val="24"/>
          <w:szCs w:val="24"/>
          <w:lang w:val="en-US"/>
        </w:rPr>
      </w:pPr>
      <w:r w:rsidRPr="00657970">
        <w:rPr>
          <w:rFonts w:ascii="Times New Roman" w:hAnsi="Times New Roman" w:cs="Times New Roman"/>
          <w:sz w:val="24"/>
          <w:szCs w:val="24"/>
          <w:lang w:val="en-US"/>
        </w:rPr>
        <w:t xml:space="preserve">All </w:t>
      </w:r>
      <w:r w:rsidR="00B5620C">
        <w:rPr>
          <w:rFonts w:ascii="Times New Roman" w:hAnsi="Times New Roman" w:cs="Times New Roman"/>
          <w:sz w:val="24"/>
          <w:szCs w:val="24"/>
          <w:lang w:val="en-US"/>
        </w:rPr>
        <w:t>bilateral initiatives</w:t>
      </w:r>
      <w:r w:rsidRPr="00657970">
        <w:rPr>
          <w:rFonts w:ascii="Times New Roman" w:hAnsi="Times New Roman" w:cs="Times New Roman"/>
          <w:sz w:val="24"/>
          <w:szCs w:val="24"/>
          <w:lang w:val="en-US"/>
        </w:rPr>
        <w:t xml:space="preserve"> received within the deadline will be </w:t>
      </w:r>
      <w:r w:rsidR="000177A6">
        <w:rPr>
          <w:rFonts w:ascii="Times New Roman" w:hAnsi="Times New Roman" w:cs="Times New Roman"/>
          <w:sz w:val="24"/>
          <w:szCs w:val="24"/>
          <w:lang w:val="en-US"/>
        </w:rPr>
        <w:t>assessed</w:t>
      </w:r>
      <w:r w:rsidRPr="00657970">
        <w:rPr>
          <w:rFonts w:ascii="Times New Roman" w:hAnsi="Times New Roman" w:cs="Times New Roman"/>
          <w:sz w:val="24"/>
          <w:szCs w:val="24"/>
          <w:lang w:val="en-US"/>
        </w:rPr>
        <w:t xml:space="preserve"> based on the criteria for </w:t>
      </w:r>
      <w:r w:rsidR="006D17D7">
        <w:rPr>
          <w:rFonts w:ascii="Times New Roman" w:hAnsi="Times New Roman" w:cs="Times New Roman"/>
          <w:sz w:val="24"/>
          <w:szCs w:val="24"/>
          <w:lang w:val="en-US"/>
        </w:rPr>
        <w:t>administrative</w:t>
      </w:r>
      <w:r w:rsidR="000177A6">
        <w:rPr>
          <w:rFonts w:ascii="Times New Roman" w:hAnsi="Times New Roman" w:cs="Times New Roman"/>
          <w:sz w:val="24"/>
          <w:szCs w:val="24"/>
          <w:lang w:val="en-US"/>
        </w:rPr>
        <w:t xml:space="preserve"> and</w:t>
      </w:r>
      <w:r w:rsidR="006D17D7">
        <w:rPr>
          <w:rFonts w:ascii="Times New Roman" w:hAnsi="Times New Roman" w:cs="Times New Roman"/>
          <w:sz w:val="24"/>
          <w:szCs w:val="24"/>
          <w:lang w:val="en-US"/>
        </w:rPr>
        <w:t xml:space="preserve"> </w:t>
      </w:r>
      <w:r w:rsidRPr="00657970">
        <w:rPr>
          <w:rFonts w:ascii="Times New Roman" w:hAnsi="Times New Roman" w:cs="Times New Roman"/>
          <w:sz w:val="24"/>
          <w:szCs w:val="24"/>
          <w:lang w:val="en-US"/>
        </w:rPr>
        <w:t>eligibility</w:t>
      </w:r>
      <w:r w:rsidR="006D17D7">
        <w:rPr>
          <w:rFonts w:ascii="Times New Roman" w:hAnsi="Times New Roman" w:cs="Times New Roman"/>
          <w:sz w:val="24"/>
          <w:szCs w:val="24"/>
          <w:lang w:val="en-US"/>
        </w:rPr>
        <w:t xml:space="preserve"> compliance and technical and financial assessment</w:t>
      </w:r>
      <w:r w:rsidR="000177A6">
        <w:rPr>
          <w:rFonts w:ascii="Times New Roman" w:hAnsi="Times New Roman" w:cs="Times New Roman"/>
          <w:sz w:val="24"/>
          <w:szCs w:val="24"/>
          <w:lang w:val="en-US"/>
        </w:rPr>
        <w:t>.</w:t>
      </w:r>
    </w:p>
    <w:p w14:paraId="63BFA1E3" w14:textId="77777777" w:rsidR="00192063" w:rsidRDefault="00CC4036" w:rsidP="005C0F8D">
      <w:pPr>
        <w:spacing w:line="320" w:lineRule="exact"/>
        <w:ind w:firstLine="851"/>
        <w:jc w:val="both"/>
        <w:rPr>
          <w:rFonts w:ascii="Times New Roman" w:hAnsi="Times New Roman" w:cs="Times New Roman"/>
          <w:sz w:val="24"/>
          <w:szCs w:val="24"/>
          <w:lang w:val="en-US"/>
        </w:rPr>
      </w:pPr>
      <w:r w:rsidRPr="00CC4036">
        <w:rPr>
          <w:rFonts w:ascii="Times New Roman" w:hAnsi="Times New Roman" w:cs="Times New Roman"/>
          <w:sz w:val="24"/>
          <w:szCs w:val="24"/>
          <w:lang w:val="en-US"/>
        </w:rPr>
        <w:t xml:space="preserve">Applications not fulfilling all the formal criteria and all the eligibility criteria will </w:t>
      </w:r>
      <w:r w:rsidR="00F403FC">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CC4036">
        <w:rPr>
          <w:rFonts w:ascii="Times New Roman" w:hAnsi="Times New Roman" w:cs="Times New Roman"/>
          <w:sz w:val="24"/>
          <w:szCs w:val="24"/>
          <w:lang w:val="en-US"/>
        </w:rPr>
        <w:t>reject</w:t>
      </w:r>
      <w:r w:rsidR="00F403FC">
        <w:rPr>
          <w:rFonts w:ascii="Times New Roman" w:hAnsi="Times New Roman" w:cs="Times New Roman"/>
          <w:sz w:val="24"/>
          <w:szCs w:val="24"/>
          <w:lang w:val="en-US"/>
        </w:rPr>
        <w:t xml:space="preserve">ed. </w:t>
      </w:r>
    </w:p>
    <w:tbl>
      <w:tblPr>
        <w:tblStyle w:val="TableGrid"/>
        <w:tblW w:w="9666" w:type="dxa"/>
        <w:tblLook w:val="04A0" w:firstRow="1" w:lastRow="0" w:firstColumn="1" w:lastColumn="0" w:noHBand="0" w:noVBand="1"/>
      </w:tblPr>
      <w:tblGrid>
        <w:gridCol w:w="817"/>
        <w:gridCol w:w="6833"/>
        <w:gridCol w:w="2016"/>
      </w:tblGrid>
      <w:tr w:rsidR="00526A81" w:rsidRPr="004605CD" w14:paraId="30BC5E48" w14:textId="77777777" w:rsidTr="00B65C9A">
        <w:tc>
          <w:tcPr>
            <w:tcW w:w="817" w:type="dxa"/>
            <w:shd w:val="clear" w:color="auto" w:fill="8EAADB" w:themeFill="accent5" w:themeFillTint="99"/>
          </w:tcPr>
          <w:p w14:paraId="49B264F8" w14:textId="77777777" w:rsidR="00526A81" w:rsidRPr="00851B41" w:rsidRDefault="00526A81" w:rsidP="00B65C9A">
            <w:pPr>
              <w:spacing w:after="120" w:line="320" w:lineRule="exact"/>
              <w:jc w:val="both"/>
              <w:rPr>
                <w:sz w:val="24"/>
                <w:szCs w:val="24"/>
                <w:lang w:val="en-GB"/>
              </w:rPr>
            </w:pPr>
          </w:p>
        </w:tc>
        <w:tc>
          <w:tcPr>
            <w:tcW w:w="6833" w:type="dxa"/>
            <w:shd w:val="clear" w:color="auto" w:fill="8EAADB" w:themeFill="accent5" w:themeFillTint="99"/>
          </w:tcPr>
          <w:p w14:paraId="5BD86053" w14:textId="77777777" w:rsidR="00526A81" w:rsidRPr="00851B41" w:rsidRDefault="00526A81" w:rsidP="00B65C9A">
            <w:pPr>
              <w:spacing w:after="120" w:line="320" w:lineRule="exact"/>
              <w:jc w:val="both"/>
              <w:rPr>
                <w:sz w:val="24"/>
                <w:szCs w:val="24"/>
                <w:lang w:val="en-GB"/>
              </w:rPr>
            </w:pPr>
            <w:r w:rsidRPr="00851B41">
              <w:rPr>
                <w:sz w:val="24"/>
                <w:szCs w:val="24"/>
                <w:lang w:val="en-GB"/>
              </w:rPr>
              <w:t>CHART FOR ADMINISTRATIVE AND ELIGIBILITY COMPLIANCE; TECHNICAL AND FINANCIAL ASSESSMENT</w:t>
            </w:r>
          </w:p>
        </w:tc>
        <w:tc>
          <w:tcPr>
            <w:tcW w:w="2016" w:type="dxa"/>
            <w:shd w:val="clear" w:color="auto" w:fill="8EAADB" w:themeFill="accent5" w:themeFillTint="99"/>
          </w:tcPr>
          <w:p w14:paraId="16F42F04" w14:textId="77777777" w:rsidR="00526A81" w:rsidRPr="004605CD" w:rsidRDefault="00526A81" w:rsidP="00B65C9A">
            <w:pPr>
              <w:spacing w:after="120" w:line="320" w:lineRule="exact"/>
              <w:jc w:val="both"/>
              <w:rPr>
                <w:lang w:val="en-GB"/>
              </w:rPr>
            </w:pPr>
          </w:p>
        </w:tc>
      </w:tr>
      <w:tr w:rsidR="00526A81" w:rsidRPr="004605CD" w14:paraId="67A4E008" w14:textId="77777777" w:rsidTr="00B65C9A">
        <w:tc>
          <w:tcPr>
            <w:tcW w:w="817" w:type="dxa"/>
          </w:tcPr>
          <w:p w14:paraId="4579C1FA" w14:textId="77777777" w:rsidR="00526A81" w:rsidRPr="00851B41" w:rsidRDefault="00526A81" w:rsidP="00B65C9A">
            <w:pPr>
              <w:pStyle w:val="ListParagraph"/>
              <w:numPr>
                <w:ilvl w:val="0"/>
                <w:numId w:val="1"/>
              </w:numPr>
              <w:suppressAutoHyphens w:val="0"/>
              <w:spacing w:after="120" w:line="320" w:lineRule="exact"/>
              <w:jc w:val="both"/>
              <w:rPr>
                <w:lang w:val="en-GB" w:eastAsia="en-US"/>
              </w:rPr>
            </w:pPr>
          </w:p>
        </w:tc>
        <w:tc>
          <w:tcPr>
            <w:tcW w:w="6833" w:type="dxa"/>
          </w:tcPr>
          <w:p w14:paraId="6B137B25" w14:textId="77777777" w:rsidR="00526A81" w:rsidRPr="00851B41" w:rsidRDefault="00526A81" w:rsidP="00B65C9A">
            <w:pPr>
              <w:spacing w:after="120" w:line="320" w:lineRule="exact"/>
              <w:jc w:val="both"/>
              <w:rPr>
                <w:sz w:val="24"/>
                <w:szCs w:val="24"/>
                <w:lang w:val="en-GB"/>
              </w:rPr>
            </w:pPr>
            <w:r w:rsidRPr="00851B41">
              <w:rPr>
                <w:sz w:val="24"/>
                <w:szCs w:val="24"/>
                <w:lang w:val="en-GB"/>
              </w:rPr>
              <w:t>The applicant is eligible.</w:t>
            </w:r>
          </w:p>
        </w:tc>
        <w:tc>
          <w:tcPr>
            <w:tcW w:w="2016" w:type="dxa"/>
          </w:tcPr>
          <w:p w14:paraId="656826C9" w14:textId="77777777" w:rsidR="00526A81" w:rsidRPr="004605CD" w:rsidRDefault="00526A81" w:rsidP="00B65C9A">
            <w:pPr>
              <w:spacing w:after="120" w:line="320" w:lineRule="exact"/>
              <w:jc w:val="both"/>
              <w:rPr>
                <w:lang w:val="en-GB"/>
              </w:rPr>
            </w:pPr>
          </w:p>
        </w:tc>
      </w:tr>
      <w:tr w:rsidR="00526A81" w:rsidRPr="004605CD" w14:paraId="2677D84B" w14:textId="77777777" w:rsidTr="00B65C9A">
        <w:tc>
          <w:tcPr>
            <w:tcW w:w="817" w:type="dxa"/>
          </w:tcPr>
          <w:p w14:paraId="3B338C24" w14:textId="77777777" w:rsidR="00526A81" w:rsidRPr="00851B41" w:rsidRDefault="00526A81" w:rsidP="00B65C9A">
            <w:pPr>
              <w:pStyle w:val="ListParagraph"/>
              <w:numPr>
                <w:ilvl w:val="0"/>
                <w:numId w:val="1"/>
              </w:numPr>
              <w:suppressAutoHyphens w:val="0"/>
              <w:spacing w:after="120" w:line="320" w:lineRule="exact"/>
              <w:jc w:val="both"/>
              <w:rPr>
                <w:lang w:val="en-GB" w:eastAsia="en-US"/>
              </w:rPr>
            </w:pPr>
          </w:p>
        </w:tc>
        <w:tc>
          <w:tcPr>
            <w:tcW w:w="6833" w:type="dxa"/>
          </w:tcPr>
          <w:p w14:paraId="439416DF" w14:textId="77777777" w:rsidR="00526A81" w:rsidRPr="00851B41" w:rsidRDefault="00526A81" w:rsidP="00B65C9A">
            <w:pPr>
              <w:spacing w:after="120" w:line="320" w:lineRule="exact"/>
              <w:jc w:val="both"/>
              <w:rPr>
                <w:sz w:val="24"/>
                <w:szCs w:val="24"/>
                <w:lang w:val="en-GB"/>
              </w:rPr>
            </w:pPr>
            <w:r w:rsidRPr="00851B41">
              <w:rPr>
                <w:sz w:val="24"/>
                <w:szCs w:val="24"/>
                <w:lang w:val="en-GB"/>
              </w:rPr>
              <w:t xml:space="preserve">The potential project partner/entity is eligible. </w:t>
            </w:r>
          </w:p>
        </w:tc>
        <w:tc>
          <w:tcPr>
            <w:tcW w:w="2016" w:type="dxa"/>
          </w:tcPr>
          <w:p w14:paraId="233E4207" w14:textId="77777777" w:rsidR="00526A81" w:rsidRPr="004605CD" w:rsidRDefault="00526A81" w:rsidP="00B65C9A">
            <w:pPr>
              <w:spacing w:after="120" w:line="320" w:lineRule="exact"/>
              <w:jc w:val="both"/>
              <w:rPr>
                <w:lang w:val="en-GB"/>
              </w:rPr>
            </w:pPr>
          </w:p>
        </w:tc>
      </w:tr>
      <w:tr w:rsidR="00526A81" w:rsidRPr="004605CD" w14:paraId="64DF10DA" w14:textId="77777777" w:rsidTr="00B65C9A">
        <w:trPr>
          <w:trHeight w:val="488"/>
        </w:trPr>
        <w:tc>
          <w:tcPr>
            <w:tcW w:w="817" w:type="dxa"/>
          </w:tcPr>
          <w:p w14:paraId="5EB16F3D" w14:textId="77777777" w:rsidR="00526A81" w:rsidRPr="00851B41" w:rsidRDefault="00526A81" w:rsidP="00B65C9A">
            <w:pPr>
              <w:pStyle w:val="ListParagraph"/>
              <w:numPr>
                <w:ilvl w:val="0"/>
                <w:numId w:val="1"/>
              </w:numPr>
              <w:suppressAutoHyphens w:val="0"/>
              <w:spacing w:after="120" w:line="320" w:lineRule="exact"/>
              <w:jc w:val="both"/>
              <w:rPr>
                <w:lang w:val="en-GB" w:eastAsia="en-US"/>
              </w:rPr>
            </w:pPr>
          </w:p>
        </w:tc>
        <w:tc>
          <w:tcPr>
            <w:tcW w:w="6833" w:type="dxa"/>
          </w:tcPr>
          <w:p w14:paraId="580567A0" w14:textId="77777777" w:rsidR="00526A81" w:rsidRPr="00851B41" w:rsidRDefault="00526A81" w:rsidP="00B65C9A">
            <w:pPr>
              <w:spacing w:after="120" w:line="320" w:lineRule="exact"/>
              <w:jc w:val="both"/>
              <w:rPr>
                <w:sz w:val="24"/>
                <w:szCs w:val="24"/>
                <w:lang w:val="en-GB"/>
              </w:rPr>
            </w:pPr>
            <w:r w:rsidRPr="00851B41">
              <w:rPr>
                <w:sz w:val="24"/>
                <w:szCs w:val="24"/>
                <w:lang w:val="en-GB"/>
              </w:rPr>
              <w:t>The application form is received within the deadline.</w:t>
            </w:r>
          </w:p>
        </w:tc>
        <w:tc>
          <w:tcPr>
            <w:tcW w:w="2016" w:type="dxa"/>
          </w:tcPr>
          <w:p w14:paraId="6265579D" w14:textId="77777777" w:rsidR="00526A81" w:rsidRPr="004605CD" w:rsidRDefault="00526A81" w:rsidP="00B65C9A">
            <w:pPr>
              <w:spacing w:after="120" w:line="320" w:lineRule="exact"/>
              <w:jc w:val="both"/>
              <w:rPr>
                <w:lang w:val="en-GB"/>
              </w:rPr>
            </w:pPr>
          </w:p>
        </w:tc>
      </w:tr>
      <w:tr w:rsidR="00526A81" w:rsidRPr="004605CD" w14:paraId="5DA29FE4" w14:textId="77777777" w:rsidTr="00B65C9A">
        <w:tc>
          <w:tcPr>
            <w:tcW w:w="817" w:type="dxa"/>
          </w:tcPr>
          <w:p w14:paraId="5C966DD6" w14:textId="77777777" w:rsidR="00526A81" w:rsidRPr="00851B41" w:rsidRDefault="00526A81" w:rsidP="00B65C9A">
            <w:pPr>
              <w:pStyle w:val="ListParagraph"/>
              <w:numPr>
                <w:ilvl w:val="0"/>
                <w:numId w:val="1"/>
              </w:numPr>
              <w:suppressAutoHyphens w:val="0"/>
              <w:spacing w:after="120" w:line="320" w:lineRule="exact"/>
              <w:jc w:val="both"/>
              <w:rPr>
                <w:lang w:val="en-GB" w:eastAsia="en-US"/>
              </w:rPr>
            </w:pPr>
          </w:p>
        </w:tc>
        <w:tc>
          <w:tcPr>
            <w:tcW w:w="6833" w:type="dxa"/>
          </w:tcPr>
          <w:p w14:paraId="12008123" w14:textId="77777777" w:rsidR="00526A81" w:rsidRPr="00851B41" w:rsidRDefault="00526A81" w:rsidP="00B65C9A">
            <w:pPr>
              <w:spacing w:after="120" w:line="320" w:lineRule="exact"/>
              <w:jc w:val="both"/>
              <w:rPr>
                <w:sz w:val="24"/>
                <w:szCs w:val="24"/>
                <w:lang w:val="en-GB"/>
              </w:rPr>
            </w:pPr>
            <w:r w:rsidRPr="00851B41">
              <w:rPr>
                <w:sz w:val="24"/>
                <w:szCs w:val="24"/>
                <w:lang w:val="en-GB"/>
              </w:rPr>
              <w:t>The correct template – Application form (Annex 5.10.1) is used; The application form is in English.</w:t>
            </w:r>
          </w:p>
        </w:tc>
        <w:tc>
          <w:tcPr>
            <w:tcW w:w="2016" w:type="dxa"/>
          </w:tcPr>
          <w:p w14:paraId="3866DFC0" w14:textId="77777777" w:rsidR="00526A81" w:rsidRPr="004605CD" w:rsidRDefault="00526A81" w:rsidP="00B65C9A">
            <w:pPr>
              <w:spacing w:after="120" w:line="320" w:lineRule="exact"/>
              <w:jc w:val="both"/>
              <w:rPr>
                <w:lang w:val="en-GB"/>
              </w:rPr>
            </w:pPr>
          </w:p>
        </w:tc>
      </w:tr>
      <w:tr w:rsidR="00526A81" w:rsidRPr="004605CD" w14:paraId="594783B1" w14:textId="77777777" w:rsidTr="00B65C9A">
        <w:tc>
          <w:tcPr>
            <w:tcW w:w="817" w:type="dxa"/>
          </w:tcPr>
          <w:p w14:paraId="42DCD12F" w14:textId="77777777" w:rsidR="00526A81" w:rsidRPr="00851B41" w:rsidRDefault="00526A81" w:rsidP="00B65C9A">
            <w:pPr>
              <w:pStyle w:val="ListParagraph"/>
              <w:numPr>
                <w:ilvl w:val="0"/>
                <w:numId w:val="1"/>
              </w:numPr>
              <w:suppressAutoHyphens w:val="0"/>
              <w:spacing w:after="120" w:line="320" w:lineRule="exact"/>
              <w:jc w:val="both"/>
              <w:rPr>
                <w:lang w:val="en-GB" w:eastAsia="en-US"/>
              </w:rPr>
            </w:pPr>
          </w:p>
        </w:tc>
        <w:tc>
          <w:tcPr>
            <w:tcW w:w="6833" w:type="dxa"/>
          </w:tcPr>
          <w:p w14:paraId="2C51CC5F" w14:textId="77777777" w:rsidR="00526A81" w:rsidRPr="00851B41" w:rsidRDefault="00526A81" w:rsidP="00B65C9A">
            <w:pPr>
              <w:spacing w:after="120" w:line="320" w:lineRule="exact"/>
              <w:jc w:val="both"/>
              <w:rPr>
                <w:sz w:val="24"/>
                <w:szCs w:val="24"/>
                <w:lang w:val="en-GB"/>
              </w:rPr>
            </w:pPr>
            <w:r w:rsidRPr="00851B41">
              <w:rPr>
                <w:sz w:val="24"/>
                <w:szCs w:val="24"/>
                <w:lang w:val="en-GB"/>
              </w:rPr>
              <w:t>A letter of intention, e-mail correspondence or other document/ correspondence proving that the applicant has established a contact with a potential partner is submitted; the submitted documents are in English.</w:t>
            </w:r>
          </w:p>
        </w:tc>
        <w:tc>
          <w:tcPr>
            <w:tcW w:w="2016" w:type="dxa"/>
          </w:tcPr>
          <w:p w14:paraId="591A1940" w14:textId="77777777" w:rsidR="00526A81" w:rsidRPr="004605CD" w:rsidRDefault="00526A81" w:rsidP="00B65C9A">
            <w:pPr>
              <w:spacing w:after="120" w:line="320" w:lineRule="exact"/>
              <w:jc w:val="both"/>
              <w:rPr>
                <w:lang w:val="en-GB"/>
              </w:rPr>
            </w:pPr>
          </w:p>
        </w:tc>
      </w:tr>
      <w:tr w:rsidR="00526A81" w:rsidRPr="004605CD" w14:paraId="6CF11CAA" w14:textId="77777777" w:rsidTr="00B65C9A">
        <w:tc>
          <w:tcPr>
            <w:tcW w:w="817" w:type="dxa"/>
          </w:tcPr>
          <w:p w14:paraId="2793F62B" w14:textId="77777777" w:rsidR="00526A81" w:rsidRPr="00851B41" w:rsidRDefault="00526A81" w:rsidP="00B65C9A">
            <w:pPr>
              <w:pStyle w:val="ListParagraph"/>
              <w:numPr>
                <w:ilvl w:val="0"/>
                <w:numId w:val="1"/>
              </w:numPr>
              <w:suppressAutoHyphens w:val="0"/>
              <w:spacing w:after="120" w:line="320" w:lineRule="exact"/>
              <w:jc w:val="both"/>
              <w:rPr>
                <w:lang w:val="en-GB" w:eastAsia="en-US"/>
              </w:rPr>
            </w:pPr>
          </w:p>
        </w:tc>
        <w:tc>
          <w:tcPr>
            <w:tcW w:w="6833" w:type="dxa"/>
          </w:tcPr>
          <w:p w14:paraId="7257936E" w14:textId="77777777" w:rsidR="00526A81" w:rsidRPr="00851B41" w:rsidRDefault="00526A81" w:rsidP="00B65C9A">
            <w:pPr>
              <w:spacing w:after="120" w:line="320" w:lineRule="exact"/>
              <w:jc w:val="both"/>
              <w:rPr>
                <w:sz w:val="24"/>
                <w:szCs w:val="24"/>
                <w:lang w:val="en-GB"/>
              </w:rPr>
            </w:pPr>
            <w:r w:rsidRPr="00851B41">
              <w:rPr>
                <w:sz w:val="24"/>
                <w:szCs w:val="24"/>
                <w:lang w:val="en-GB"/>
              </w:rPr>
              <w:t>The envisaged activities are eligible.</w:t>
            </w:r>
          </w:p>
        </w:tc>
        <w:tc>
          <w:tcPr>
            <w:tcW w:w="2016" w:type="dxa"/>
          </w:tcPr>
          <w:p w14:paraId="24BFCB90" w14:textId="77777777" w:rsidR="00526A81" w:rsidRPr="004605CD" w:rsidRDefault="00526A81" w:rsidP="00B65C9A">
            <w:pPr>
              <w:spacing w:after="120" w:line="320" w:lineRule="exact"/>
              <w:jc w:val="both"/>
              <w:rPr>
                <w:lang w:val="en-GB"/>
              </w:rPr>
            </w:pPr>
          </w:p>
        </w:tc>
      </w:tr>
      <w:tr w:rsidR="00526A81" w:rsidRPr="004605CD" w14:paraId="251B7B03" w14:textId="77777777" w:rsidTr="00B65C9A">
        <w:tc>
          <w:tcPr>
            <w:tcW w:w="817" w:type="dxa"/>
          </w:tcPr>
          <w:p w14:paraId="78E59F4A" w14:textId="77777777" w:rsidR="00526A81" w:rsidRPr="00851B41" w:rsidRDefault="00526A81" w:rsidP="00B65C9A">
            <w:pPr>
              <w:pStyle w:val="ListParagraph"/>
              <w:numPr>
                <w:ilvl w:val="0"/>
                <w:numId w:val="1"/>
              </w:numPr>
              <w:suppressAutoHyphens w:val="0"/>
              <w:spacing w:after="120" w:line="320" w:lineRule="exact"/>
              <w:jc w:val="both"/>
              <w:rPr>
                <w:lang w:val="en-GB" w:eastAsia="en-US"/>
              </w:rPr>
            </w:pPr>
          </w:p>
        </w:tc>
        <w:tc>
          <w:tcPr>
            <w:tcW w:w="6833" w:type="dxa"/>
          </w:tcPr>
          <w:p w14:paraId="1C1CCBB4" w14:textId="77777777" w:rsidR="00526A81" w:rsidRPr="00851B41" w:rsidRDefault="00526A81" w:rsidP="00B65C9A">
            <w:pPr>
              <w:spacing w:after="120" w:line="320" w:lineRule="exact"/>
              <w:jc w:val="both"/>
              <w:rPr>
                <w:sz w:val="24"/>
                <w:szCs w:val="24"/>
                <w:lang w:val="en-GB"/>
              </w:rPr>
            </w:pPr>
            <w:r w:rsidRPr="00851B41">
              <w:rPr>
                <w:sz w:val="24"/>
                <w:szCs w:val="24"/>
                <w:lang w:val="en-GB"/>
              </w:rPr>
              <w:t>The expenditures are eligible.</w:t>
            </w:r>
          </w:p>
        </w:tc>
        <w:tc>
          <w:tcPr>
            <w:tcW w:w="2016" w:type="dxa"/>
          </w:tcPr>
          <w:p w14:paraId="17BF6893" w14:textId="77777777" w:rsidR="00526A81" w:rsidRPr="004605CD" w:rsidRDefault="00526A81" w:rsidP="00B65C9A">
            <w:pPr>
              <w:spacing w:after="120" w:line="320" w:lineRule="exact"/>
              <w:jc w:val="both"/>
              <w:rPr>
                <w:lang w:val="en-GB"/>
              </w:rPr>
            </w:pPr>
          </w:p>
        </w:tc>
      </w:tr>
      <w:tr w:rsidR="00526A81" w:rsidRPr="004605CD" w14:paraId="2A1A59A5" w14:textId="77777777" w:rsidTr="00B65C9A">
        <w:tc>
          <w:tcPr>
            <w:tcW w:w="817" w:type="dxa"/>
          </w:tcPr>
          <w:p w14:paraId="2A4AF0FE" w14:textId="77777777" w:rsidR="00526A81" w:rsidRPr="00851B41" w:rsidRDefault="00526A81" w:rsidP="00B65C9A">
            <w:pPr>
              <w:pStyle w:val="ListParagraph"/>
              <w:numPr>
                <w:ilvl w:val="0"/>
                <w:numId w:val="1"/>
              </w:numPr>
              <w:suppressAutoHyphens w:val="0"/>
              <w:spacing w:after="120" w:line="320" w:lineRule="exact"/>
              <w:jc w:val="both"/>
              <w:rPr>
                <w:lang w:val="en-GB" w:eastAsia="en-US"/>
              </w:rPr>
            </w:pPr>
          </w:p>
        </w:tc>
        <w:tc>
          <w:tcPr>
            <w:tcW w:w="6833" w:type="dxa"/>
          </w:tcPr>
          <w:p w14:paraId="180BFE04" w14:textId="77777777" w:rsidR="00526A81" w:rsidRPr="00851B41" w:rsidRDefault="00526A81" w:rsidP="00B65C9A">
            <w:pPr>
              <w:spacing w:after="120" w:line="320" w:lineRule="exact"/>
              <w:jc w:val="both"/>
              <w:rPr>
                <w:sz w:val="24"/>
                <w:szCs w:val="24"/>
                <w:lang w:val="en-GB"/>
              </w:rPr>
            </w:pPr>
            <w:r w:rsidRPr="00851B41">
              <w:rPr>
                <w:sz w:val="24"/>
                <w:szCs w:val="24"/>
                <w:lang w:val="en-GB"/>
              </w:rPr>
              <w:t>The initiative contributes to the objectives of the Fund for bilateral relations, the overall objective of the Home Affairs Programme.</w:t>
            </w:r>
          </w:p>
        </w:tc>
        <w:tc>
          <w:tcPr>
            <w:tcW w:w="2016" w:type="dxa"/>
          </w:tcPr>
          <w:p w14:paraId="1F1CACB5" w14:textId="77777777" w:rsidR="00526A81" w:rsidRPr="004605CD" w:rsidRDefault="00526A81" w:rsidP="00B65C9A">
            <w:pPr>
              <w:spacing w:after="120" w:line="320" w:lineRule="exact"/>
              <w:jc w:val="both"/>
              <w:rPr>
                <w:lang w:val="en-GB"/>
              </w:rPr>
            </w:pPr>
          </w:p>
        </w:tc>
      </w:tr>
      <w:tr w:rsidR="00526A81" w:rsidRPr="004605CD" w14:paraId="3BE4AB3B" w14:textId="77777777" w:rsidTr="00B65C9A">
        <w:tc>
          <w:tcPr>
            <w:tcW w:w="817" w:type="dxa"/>
          </w:tcPr>
          <w:p w14:paraId="4FEDEA21" w14:textId="77777777" w:rsidR="00526A81" w:rsidRPr="00851B41" w:rsidRDefault="00526A81" w:rsidP="00B65C9A">
            <w:pPr>
              <w:pStyle w:val="ListParagraph"/>
              <w:numPr>
                <w:ilvl w:val="0"/>
                <w:numId w:val="1"/>
              </w:numPr>
              <w:suppressAutoHyphens w:val="0"/>
              <w:spacing w:after="120" w:line="320" w:lineRule="exact"/>
              <w:jc w:val="both"/>
              <w:rPr>
                <w:lang w:val="en-GB" w:eastAsia="en-US"/>
              </w:rPr>
            </w:pPr>
          </w:p>
        </w:tc>
        <w:tc>
          <w:tcPr>
            <w:tcW w:w="6833" w:type="dxa"/>
          </w:tcPr>
          <w:p w14:paraId="753BCFFF" w14:textId="77777777" w:rsidR="00526A81" w:rsidRPr="00851B41" w:rsidRDefault="00526A81" w:rsidP="00B65C9A">
            <w:pPr>
              <w:spacing w:after="120" w:line="320" w:lineRule="exact"/>
              <w:jc w:val="both"/>
              <w:rPr>
                <w:sz w:val="24"/>
                <w:szCs w:val="24"/>
                <w:lang w:val="en-GB"/>
              </w:rPr>
            </w:pPr>
            <w:r w:rsidRPr="00851B41">
              <w:rPr>
                <w:sz w:val="24"/>
                <w:szCs w:val="24"/>
                <w:lang w:val="en-GB"/>
              </w:rPr>
              <w:t>There is a correlation between the activities and the expenditures.</w:t>
            </w:r>
          </w:p>
        </w:tc>
        <w:tc>
          <w:tcPr>
            <w:tcW w:w="2016" w:type="dxa"/>
          </w:tcPr>
          <w:p w14:paraId="12A76BF1" w14:textId="77777777" w:rsidR="00526A81" w:rsidRPr="004605CD" w:rsidRDefault="00526A81" w:rsidP="00B65C9A">
            <w:pPr>
              <w:spacing w:after="120" w:line="320" w:lineRule="exact"/>
              <w:jc w:val="both"/>
              <w:rPr>
                <w:lang w:val="en-GB"/>
              </w:rPr>
            </w:pPr>
          </w:p>
        </w:tc>
      </w:tr>
      <w:tr w:rsidR="00526A81" w:rsidRPr="004605CD" w14:paraId="0D04FDCD" w14:textId="77777777" w:rsidTr="00B65C9A">
        <w:tc>
          <w:tcPr>
            <w:tcW w:w="817" w:type="dxa"/>
          </w:tcPr>
          <w:p w14:paraId="4E89D67E" w14:textId="77777777" w:rsidR="00526A81" w:rsidRPr="00851B41" w:rsidRDefault="00526A81" w:rsidP="00B65C9A">
            <w:pPr>
              <w:pStyle w:val="ListParagraph"/>
              <w:numPr>
                <w:ilvl w:val="0"/>
                <w:numId w:val="1"/>
              </w:numPr>
              <w:suppressAutoHyphens w:val="0"/>
              <w:spacing w:after="120" w:line="320" w:lineRule="exact"/>
              <w:jc w:val="both"/>
              <w:rPr>
                <w:lang w:val="en-GB" w:eastAsia="en-US"/>
              </w:rPr>
            </w:pPr>
          </w:p>
        </w:tc>
        <w:tc>
          <w:tcPr>
            <w:tcW w:w="6833" w:type="dxa"/>
          </w:tcPr>
          <w:p w14:paraId="18F6745F" w14:textId="77777777" w:rsidR="00526A81" w:rsidRPr="00851B41" w:rsidRDefault="00526A81" w:rsidP="00B65C9A">
            <w:pPr>
              <w:spacing w:after="120" w:line="320" w:lineRule="exact"/>
              <w:jc w:val="both"/>
              <w:rPr>
                <w:sz w:val="24"/>
                <w:szCs w:val="24"/>
                <w:lang w:val="en-GB"/>
              </w:rPr>
            </w:pPr>
            <w:r w:rsidRPr="00851B41">
              <w:rPr>
                <w:sz w:val="24"/>
                <w:szCs w:val="24"/>
                <w:lang w:val="en-GB"/>
              </w:rPr>
              <w:t>There is a detailed justification of the budget/budget lines.</w:t>
            </w:r>
          </w:p>
        </w:tc>
        <w:tc>
          <w:tcPr>
            <w:tcW w:w="2016" w:type="dxa"/>
          </w:tcPr>
          <w:p w14:paraId="41DB16C3" w14:textId="77777777" w:rsidR="00526A81" w:rsidRPr="004605CD" w:rsidRDefault="00526A81" w:rsidP="00B65C9A">
            <w:pPr>
              <w:spacing w:after="120" w:line="320" w:lineRule="exact"/>
              <w:jc w:val="both"/>
              <w:rPr>
                <w:lang w:val="en-GB"/>
              </w:rPr>
            </w:pPr>
          </w:p>
        </w:tc>
      </w:tr>
    </w:tbl>
    <w:p w14:paraId="1389557A" w14:textId="77777777" w:rsidR="00DC3E38" w:rsidRPr="009772D3" w:rsidRDefault="00DC3E38" w:rsidP="009772D3">
      <w:pPr>
        <w:spacing w:line="320" w:lineRule="exact"/>
        <w:jc w:val="both"/>
        <w:rPr>
          <w:rFonts w:ascii="Times New Roman" w:hAnsi="Times New Roman" w:cs="Times New Roman"/>
          <w:b/>
          <w:sz w:val="24"/>
          <w:szCs w:val="24"/>
          <w:lang w:val="en-US"/>
        </w:rPr>
      </w:pPr>
    </w:p>
    <w:p w14:paraId="16A0DF0C" w14:textId="77777777" w:rsidR="009C4976" w:rsidRDefault="009C4976" w:rsidP="00231699">
      <w:pPr>
        <w:spacing w:line="320" w:lineRule="exact"/>
        <w:ind w:firstLine="993"/>
        <w:jc w:val="both"/>
        <w:rPr>
          <w:rFonts w:ascii="Times New Roman" w:hAnsi="Times New Roman" w:cs="Times New Roman"/>
          <w:b/>
          <w:sz w:val="24"/>
          <w:szCs w:val="24"/>
          <w:lang w:val="en-US"/>
        </w:rPr>
      </w:pPr>
      <w:r w:rsidRPr="002451F9">
        <w:rPr>
          <w:rFonts w:ascii="Times New Roman" w:hAnsi="Times New Roman" w:cs="Times New Roman"/>
          <w:b/>
          <w:sz w:val="24"/>
          <w:szCs w:val="24"/>
          <w:lang w:val="en-US"/>
        </w:rPr>
        <w:t>V</w:t>
      </w:r>
      <w:r>
        <w:rPr>
          <w:rFonts w:ascii="Times New Roman" w:hAnsi="Times New Roman" w:cs="Times New Roman"/>
          <w:b/>
          <w:sz w:val="24"/>
          <w:szCs w:val="24"/>
          <w:lang w:val="en-US"/>
        </w:rPr>
        <w:t>III</w:t>
      </w:r>
      <w:r w:rsidRPr="002451F9">
        <w:rPr>
          <w:rFonts w:ascii="Times New Roman" w:hAnsi="Times New Roman" w:cs="Times New Roman"/>
          <w:b/>
          <w:sz w:val="24"/>
          <w:szCs w:val="24"/>
          <w:lang w:val="en-US"/>
        </w:rPr>
        <w:t>. Supporting documents</w:t>
      </w:r>
      <w:r w:rsidR="00CB5804">
        <w:rPr>
          <w:rFonts w:ascii="Times New Roman" w:hAnsi="Times New Roman" w:cs="Times New Roman"/>
          <w:b/>
          <w:sz w:val="24"/>
          <w:szCs w:val="24"/>
          <w:lang w:val="en-US"/>
        </w:rPr>
        <w:t xml:space="preserve"> before signing the contract</w:t>
      </w:r>
      <w:r w:rsidRPr="002451F9">
        <w:rPr>
          <w:rFonts w:ascii="Times New Roman" w:hAnsi="Times New Roman" w:cs="Times New Roman"/>
          <w:b/>
          <w:sz w:val="24"/>
          <w:szCs w:val="24"/>
          <w:lang w:val="en-US"/>
        </w:rPr>
        <w:t>:</w:t>
      </w:r>
    </w:p>
    <w:p w14:paraId="34998BE7" w14:textId="4D2F0895" w:rsidR="00CB5804" w:rsidRPr="008013A3" w:rsidRDefault="008013A3" w:rsidP="00231699">
      <w:pPr>
        <w:spacing w:line="320" w:lineRule="exact"/>
        <w:ind w:firstLine="993"/>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8013A3">
        <w:rPr>
          <w:rFonts w:ascii="Times New Roman" w:hAnsi="Times New Roman" w:cs="Times New Roman"/>
          <w:sz w:val="24"/>
          <w:szCs w:val="24"/>
          <w:lang w:val="en-US"/>
        </w:rPr>
        <w:t xml:space="preserve">Before the signing </w:t>
      </w:r>
      <w:r w:rsidR="006542F8">
        <w:rPr>
          <w:rFonts w:ascii="Times New Roman" w:hAnsi="Times New Roman" w:cs="Times New Roman"/>
          <w:sz w:val="24"/>
          <w:szCs w:val="24"/>
          <w:lang w:val="en-US"/>
        </w:rPr>
        <w:t xml:space="preserve">of </w:t>
      </w:r>
      <w:r w:rsidRPr="008013A3">
        <w:rPr>
          <w:rFonts w:ascii="Times New Roman" w:hAnsi="Times New Roman" w:cs="Times New Roman"/>
          <w:sz w:val="24"/>
          <w:szCs w:val="24"/>
          <w:lang w:val="en-US"/>
        </w:rPr>
        <w:t>the contract the applicant and the partner should sign a partnership agreement (Annex 5.10.3), which describes in detail</w:t>
      </w:r>
      <w:r>
        <w:rPr>
          <w:rFonts w:ascii="Times New Roman" w:hAnsi="Times New Roman" w:cs="Times New Roman"/>
          <w:sz w:val="24"/>
          <w:szCs w:val="24"/>
          <w:lang w:val="en-US"/>
        </w:rPr>
        <w:t>s</w:t>
      </w:r>
      <w:r w:rsidRPr="008013A3">
        <w:rPr>
          <w:rFonts w:ascii="Times New Roman" w:hAnsi="Times New Roman" w:cs="Times New Roman"/>
          <w:sz w:val="24"/>
          <w:szCs w:val="24"/>
          <w:lang w:val="en-US"/>
        </w:rPr>
        <w:t xml:space="preserve"> the distribution of activities and financial commitments between the parties. In case no financial relations arise between the parties on the initiative, it is not necessary to sign a partnership agreement. In this case, the parties sign a letter of inten</w:t>
      </w:r>
      <w:r w:rsidR="00231699">
        <w:rPr>
          <w:rFonts w:ascii="Times New Roman" w:hAnsi="Times New Roman" w:cs="Times New Roman"/>
          <w:sz w:val="24"/>
          <w:szCs w:val="24"/>
          <w:lang w:val="en-US"/>
        </w:rPr>
        <w:t>tion</w:t>
      </w:r>
      <w:r w:rsidR="00231699">
        <w:rPr>
          <w:rFonts w:ascii="Times New Roman" w:hAnsi="Times New Roman" w:cs="Times New Roman"/>
          <w:sz w:val="24"/>
          <w:szCs w:val="24"/>
        </w:rPr>
        <w:t>;</w:t>
      </w:r>
    </w:p>
    <w:p w14:paraId="0198EDC5" w14:textId="77777777" w:rsidR="009C4976" w:rsidRPr="00FE49CB" w:rsidRDefault="009C4976" w:rsidP="00231699">
      <w:pPr>
        <w:spacing w:line="320" w:lineRule="exact"/>
        <w:ind w:firstLine="993"/>
        <w:jc w:val="both"/>
        <w:rPr>
          <w:rFonts w:ascii="Times New Roman" w:hAnsi="Times New Roman" w:cs="Times New Roman"/>
          <w:sz w:val="24"/>
          <w:szCs w:val="24"/>
          <w:lang w:val="en-US"/>
        </w:rPr>
      </w:pPr>
      <w:r w:rsidRPr="00FE49CB">
        <w:rPr>
          <w:rFonts w:ascii="Times New Roman" w:hAnsi="Times New Roman" w:cs="Times New Roman"/>
          <w:sz w:val="24"/>
          <w:szCs w:val="24"/>
          <w:lang w:val="en-US"/>
        </w:rPr>
        <w:t xml:space="preserve">2. Financial identification; </w:t>
      </w:r>
    </w:p>
    <w:p w14:paraId="62E651AA" w14:textId="77777777" w:rsidR="00AC7F82" w:rsidRPr="00FE49CB" w:rsidRDefault="00AC7F82" w:rsidP="00231699">
      <w:pPr>
        <w:spacing w:line="320" w:lineRule="exact"/>
        <w:ind w:firstLine="993"/>
        <w:jc w:val="both"/>
        <w:rPr>
          <w:rFonts w:ascii="Times New Roman" w:hAnsi="Times New Roman" w:cs="Times New Roman"/>
          <w:sz w:val="24"/>
          <w:szCs w:val="24"/>
          <w:lang w:val="en-US"/>
        </w:rPr>
      </w:pPr>
      <w:r w:rsidRPr="00FE49CB">
        <w:rPr>
          <w:rFonts w:ascii="Times New Roman" w:hAnsi="Times New Roman" w:cs="Times New Roman"/>
          <w:sz w:val="24"/>
          <w:szCs w:val="24"/>
          <w:lang w:val="en-US"/>
        </w:rPr>
        <w:t>3. Declaration for bank account;</w:t>
      </w:r>
    </w:p>
    <w:p w14:paraId="38D7E251" w14:textId="77777777" w:rsidR="005545E8" w:rsidRPr="00FE49CB" w:rsidRDefault="00AC7F82" w:rsidP="00231699">
      <w:pPr>
        <w:spacing w:line="320" w:lineRule="exact"/>
        <w:ind w:firstLine="993"/>
        <w:jc w:val="both"/>
        <w:rPr>
          <w:rFonts w:ascii="Times New Roman" w:hAnsi="Times New Roman" w:cs="Times New Roman"/>
          <w:sz w:val="24"/>
          <w:szCs w:val="24"/>
          <w:lang w:val="en-US"/>
        </w:rPr>
      </w:pPr>
      <w:r w:rsidRPr="00FE49CB">
        <w:rPr>
          <w:rFonts w:ascii="Times New Roman" w:hAnsi="Times New Roman" w:cs="Times New Roman"/>
          <w:sz w:val="24"/>
          <w:szCs w:val="24"/>
          <w:lang w:val="en-US"/>
        </w:rPr>
        <w:t>4. Declaration for VAT circumstances</w:t>
      </w:r>
      <w:r w:rsidR="005545E8" w:rsidRPr="00FE49CB">
        <w:rPr>
          <w:rFonts w:ascii="Times New Roman" w:hAnsi="Times New Roman" w:cs="Times New Roman"/>
          <w:sz w:val="24"/>
          <w:szCs w:val="24"/>
          <w:lang w:val="en-US"/>
        </w:rPr>
        <w:t>;</w:t>
      </w:r>
    </w:p>
    <w:p w14:paraId="4D121085" w14:textId="20691692" w:rsidR="00AC7F82" w:rsidRPr="00231699" w:rsidRDefault="005545E8" w:rsidP="00231699">
      <w:pPr>
        <w:spacing w:line="320" w:lineRule="exact"/>
        <w:ind w:firstLine="993"/>
        <w:jc w:val="both"/>
        <w:rPr>
          <w:rFonts w:ascii="Times New Roman" w:hAnsi="Times New Roman" w:cs="Times New Roman"/>
          <w:sz w:val="24"/>
          <w:szCs w:val="24"/>
        </w:rPr>
      </w:pPr>
      <w:r w:rsidRPr="00FE49CB">
        <w:rPr>
          <w:rFonts w:ascii="Times New Roman" w:hAnsi="Times New Roman" w:cs="Times New Roman"/>
          <w:sz w:val="24"/>
          <w:szCs w:val="24"/>
          <w:lang w:val="en-US"/>
        </w:rPr>
        <w:t>5. Declaration on the lack of double funding</w:t>
      </w:r>
      <w:r w:rsidR="00231699">
        <w:rPr>
          <w:rFonts w:ascii="Times New Roman" w:hAnsi="Times New Roman" w:cs="Times New Roman"/>
          <w:sz w:val="24"/>
          <w:szCs w:val="24"/>
        </w:rPr>
        <w:t>;</w:t>
      </w:r>
    </w:p>
    <w:p w14:paraId="39899A58" w14:textId="22CFECBE" w:rsidR="005C0F8D" w:rsidRPr="00231699" w:rsidRDefault="00231699" w:rsidP="00231699">
      <w:pPr>
        <w:spacing w:line="320" w:lineRule="exact"/>
        <w:ind w:firstLine="993"/>
        <w:jc w:val="both"/>
        <w:rPr>
          <w:rFonts w:ascii="Times New Roman" w:hAnsi="Times New Roman" w:cs="Times New Roman"/>
          <w:sz w:val="24"/>
          <w:szCs w:val="24"/>
          <w:lang w:val="en-US"/>
        </w:rPr>
      </w:pPr>
      <w:r w:rsidRPr="00231699">
        <w:rPr>
          <w:rFonts w:ascii="Times New Roman" w:hAnsi="Times New Roman" w:cs="Times New Roman"/>
          <w:sz w:val="24"/>
          <w:szCs w:val="24"/>
          <w:lang w:val="en-US"/>
        </w:rPr>
        <w:t xml:space="preserve">6. </w:t>
      </w:r>
      <w:r w:rsidR="005C0F8D" w:rsidRPr="00231699">
        <w:rPr>
          <w:rFonts w:ascii="Times New Roman" w:hAnsi="Times New Roman" w:cs="Times New Roman"/>
          <w:sz w:val="24"/>
          <w:szCs w:val="24"/>
          <w:lang w:val="en-US"/>
        </w:rPr>
        <w:t xml:space="preserve">Criminal record certificate or equivalent </w:t>
      </w:r>
      <w:r>
        <w:rPr>
          <w:rFonts w:ascii="Times New Roman" w:hAnsi="Times New Roman" w:cs="Times New Roman"/>
          <w:sz w:val="24"/>
          <w:szCs w:val="24"/>
        </w:rPr>
        <w:t>(</w:t>
      </w:r>
      <w:r w:rsidRPr="00231699">
        <w:rPr>
          <w:rFonts w:ascii="Times New Roman" w:hAnsi="Times New Roman" w:cs="Times New Roman"/>
          <w:sz w:val="24"/>
          <w:szCs w:val="24"/>
          <w:lang w:val="en-US"/>
        </w:rPr>
        <w:t>does not refer to state and public entities and bodies and international organizations</w:t>
      </w:r>
      <w:r>
        <w:rPr>
          <w:rFonts w:ascii="Times New Roman" w:hAnsi="Times New Roman" w:cs="Times New Roman"/>
          <w:sz w:val="24"/>
          <w:szCs w:val="24"/>
        </w:rPr>
        <w:t xml:space="preserve">). </w:t>
      </w:r>
      <w:r w:rsidRPr="00231699">
        <w:rPr>
          <w:rFonts w:ascii="Times New Roman" w:hAnsi="Times New Roman" w:cs="Times New Roman"/>
          <w:sz w:val="24"/>
          <w:szCs w:val="24"/>
          <w:lang w:val="en-US"/>
        </w:rPr>
        <w:t>The Programe operator shall provide the</w:t>
      </w:r>
      <w:r>
        <w:rPr>
          <w:rFonts w:ascii="Times New Roman" w:hAnsi="Times New Roman" w:cs="Times New Roman"/>
          <w:sz w:val="24"/>
          <w:szCs w:val="24"/>
          <w:lang w:val="en-US"/>
        </w:rPr>
        <w:t xml:space="preserve"> check ex officio</w:t>
      </w:r>
      <w:r>
        <w:rPr>
          <w:rFonts w:ascii="Times New Roman" w:hAnsi="Times New Roman" w:cs="Times New Roman"/>
          <w:sz w:val="24"/>
          <w:szCs w:val="24"/>
        </w:rPr>
        <w:t>;</w:t>
      </w:r>
    </w:p>
    <w:p w14:paraId="7868A040" w14:textId="52E8D5BF" w:rsidR="005C0F8D" w:rsidRPr="00231699" w:rsidRDefault="00231699" w:rsidP="00231699">
      <w:pPr>
        <w:spacing w:line="320" w:lineRule="exact"/>
        <w:ind w:firstLine="993"/>
        <w:jc w:val="both"/>
        <w:rPr>
          <w:rFonts w:ascii="Times New Roman" w:hAnsi="Times New Roman" w:cs="Times New Roman"/>
          <w:sz w:val="24"/>
          <w:szCs w:val="24"/>
          <w:lang w:val="en-US"/>
        </w:rPr>
      </w:pPr>
      <w:r w:rsidRPr="00231699">
        <w:rPr>
          <w:rFonts w:ascii="Times New Roman" w:hAnsi="Times New Roman" w:cs="Times New Roman"/>
          <w:sz w:val="24"/>
          <w:szCs w:val="24"/>
          <w:lang w:val="en-US"/>
        </w:rPr>
        <w:t xml:space="preserve">7. </w:t>
      </w:r>
      <w:r w:rsidR="005C0F8D" w:rsidRPr="00231699">
        <w:rPr>
          <w:rFonts w:ascii="Times New Roman" w:hAnsi="Times New Roman" w:cs="Times New Roman"/>
          <w:sz w:val="24"/>
          <w:szCs w:val="24"/>
          <w:lang w:val="en-US"/>
        </w:rPr>
        <w:t xml:space="preserve">Certificate for lack of overdue financial obligations issued by National Revenue Agency or an equivalent competent authority. </w:t>
      </w:r>
      <w:r>
        <w:rPr>
          <w:rFonts w:ascii="Times New Roman" w:hAnsi="Times New Roman" w:cs="Times New Roman"/>
          <w:sz w:val="24"/>
          <w:szCs w:val="24"/>
        </w:rPr>
        <w:t>(</w:t>
      </w:r>
      <w:r w:rsidRPr="00231699">
        <w:rPr>
          <w:rFonts w:ascii="Times New Roman" w:hAnsi="Times New Roman" w:cs="Times New Roman"/>
          <w:sz w:val="24"/>
          <w:szCs w:val="24"/>
          <w:lang w:val="en-US"/>
        </w:rPr>
        <w:t>does not refer to state and public entities and bodies and international organizations</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5C0F8D" w:rsidRPr="00231699">
        <w:rPr>
          <w:rFonts w:ascii="Times New Roman" w:hAnsi="Times New Roman" w:cs="Times New Roman"/>
          <w:sz w:val="24"/>
          <w:szCs w:val="24"/>
          <w:lang w:val="en-US"/>
        </w:rPr>
        <w:t>The Programe operator shall provide the check ex off</w:t>
      </w:r>
      <w:r>
        <w:rPr>
          <w:rFonts w:ascii="Times New Roman" w:hAnsi="Times New Roman" w:cs="Times New Roman"/>
          <w:sz w:val="24"/>
          <w:szCs w:val="24"/>
          <w:lang w:val="en-US"/>
        </w:rPr>
        <w:t>icio</w:t>
      </w:r>
      <w:r>
        <w:rPr>
          <w:rFonts w:ascii="Times New Roman" w:hAnsi="Times New Roman" w:cs="Times New Roman"/>
          <w:sz w:val="24"/>
          <w:szCs w:val="24"/>
        </w:rPr>
        <w:t>;</w:t>
      </w:r>
    </w:p>
    <w:p w14:paraId="60D8B3DB" w14:textId="716FA761" w:rsidR="005C0F8D" w:rsidRPr="00231699" w:rsidRDefault="00231699" w:rsidP="00231699">
      <w:pPr>
        <w:spacing w:line="320" w:lineRule="exact"/>
        <w:ind w:firstLine="993"/>
        <w:jc w:val="both"/>
        <w:rPr>
          <w:rFonts w:ascii="Times New Roman" w:hAnsi="Times New Roman" w:cs="Times New Roman"/>
          <w:sz w:val="24"/>
          <w:szCs w:val="24"/>
          <w:lang w:val="en-US"/>
        </w:rPr>
      </w:pPr>
      <w:r w:rsidRPr="00231699">
        <w:rPr>
          <w:rFonts w:ascii="Times New Roman" w:hAnsi="Times New Roman" w:cs="Times New Roman"/>
          <w:sz w:val="24"/>
          <w:szCs w:val="24"/>
          <w:lang w:val="en-US"/>
        </w:rPr>
        <w:t xml:space="preserve">8. </w:t>
      </w:r>
      <w:r w:rsidR="005C0F8D" w:rsidRPr="00231699">
        <w:rPr>
          <w:rFonts w:ascii="Times New Roman" w:hAnsi="Times New Roman" w:cs="Times New Roman"/>
          <w:sz w:val="24"/>
          <w:szCs w:val="24"/>
          <w:lang w:val="en-US"/>
        </w:rPr>
        <w:t>Certified copy of certificate for current status or equivalent/if applicable. (does not refer to state and public entities and bodies and international organizations). The Programe operator shall provide the check ex officio.</w:t>
      </w:r>
    </w:p>
    <w:p w14:paraId="4910A904" w14:textId="77777777" w:rsidR="007C18DA" w:rsidRPr="009772D3" w:rsidRDefault="007C18DA" w:rsidP="009772D3">
      <w:pPr>
        <w:spacing w:line="320" w:lineRule="exact"/>
        <w:jc w:val="both"/>
        <w:rPr>
          <w:rFonts w:ascii="Times New Roman" w:hAnsi="Times New Roman" w:cs="Times New Roman"/>
          <w:sz w:val="24"/>
          <w:szCs w:val="24"/>
          <w:lang w:val="en-US"/>
        </w:rPr>
      </w:pPr>
    </w:p>
    <w:sectPr w:rsidR="007C18DA" w:rsidRPr="009772D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B982" w14:textId="77777777" w:rsidR="00714FDA" w:rsidRDefault="00714FDA" w:rsidP="00115008">
      <w:pPr>
        <w:spacing w:after="0" w:line="240" w:lineRule="auto"/>
      </w:pPr>
      <w:r>
        <w:separator/>
      </w:r>
    </w:p>
  </w:endnote>
  <w:endnote w:type="continuationSeparator" w:id="0">
    <w:p w14:paraId="3A841846" w14:textId="77777777" w:rsidR="00714FDA" w:rsidRDefault="00714FDA" w:rsidP="00115008">
      <w:pPr>
        <w:spacing w:after="0" w:line="240" w:lineRule="auto"/>
      </w:pPr>
      <w:r>
        <w:continuationSeparator/>
      </w:r>
    </w:p>
  </w:endnote>
  <w:endnote w:type="continuationNotice" w:id="1">
    <w:p w14:paraId="499713FA" w14:textId="77777777" w:rsidR="00714FDA" w:rsidRDefault="00714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D90EF" w14:textId="77777777" w:rsidR="00714FDA" w:rsidRDefault="00714FDA" w:rsidP="00115008">
      <w:pPr>
        <w:spacing w:after="0" w:line="240" w:lineRule="auto"/>
      </w:pPr>
      <w:r>
        <w:separator/>
      </w:r>
    </w:p>
  </w:footnote>
  <w:footnote w:type="continuationSeparator" w:id="0">
    <w:p w14:paraId="38839EFB" w14:textId="77777777" w:rsidR="00714FDA" w:rsidRDefault="00714FDA" w:rsidP="00115008">
      <w:pPr>
        <w:spacing w:after="0" w:line="240" w:lineRule="auto"/>
      </w:pPr>
      <w:r>
        <w:continuationSeparator/>
      </w:r>
    </w:p>
  </w:footnote>
  <w:footnote w:type="continuationNotice" w:id="1">
    <w:p w14:paraId="68A22E7C" w14:textId="77777777" w:rsidR="00714FDA" w:rsidRDefault="00714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9DAE" w14:textId="77777777" w:rsidR="00115008" w:rsidRDefault="00115008">
    <w:pPr>
      <w:pStyle w:val="Header"/>
    </w:pPr>
    <w:r>
      <w:rPr>
        <w:noProof/>
        <w:lang w:eastAsia="bg-BG"/>
      </w:rPr>
      <w:drawing>
        <wp:inline distT="0" distB="0" distL="0" distR="0" wp14:anchorId="4192FADA" wp14:editId="3EAE49F6">
          <wp:extent cx="673100" cy="733425"/>
          <wp:effectExtent l="0" t="0" r="0" b="9525"/>
          <wp:docPr id="21" name="Picture 21" descr="C:\Users\jstoyanova.14\Desktop\Norway_grants@2x.png"/>
          <wp:cNvGraphicFramePr/>
          <a:graphic xmlns:a="http://schemas.openxmlformats.org/drawingml/2006/main">
            <a:graphicData uri="http://schemas.openxmlformats.org/drawingml/2006/picture">
              <pic:pic xmlns:pic="http://schemas.openxmlformats.org/drawingml/2006/picture">
                <pic:nvPicPr>
                  <pic:cNvPr id="21" name="Picture 21" descr="C:\Users\jstoyanova.14\Desktop\Norway_grants@2x.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733425"/>
                  </a:xfrm>
                  <a:prstGeom prst="rect">
                    <a:avLst/>
                  </a:prstGeom>
                  <a:noFill/>
                  <a:ln>
                    <a:noFill/>
                  </a:ln>
                </pic:spPr>
              </pic:pic>
            </a:graphicData>
          </a:graphic>
        </wp:inline>
      </w:drawing>
    </w:r>
    <w:r>
      <w:rPr>
        <w:rFonts w:ascii="Times New Roman" w:hAnsi="Times New Roman"/>
        <w:b/>
        <w:sz w:val="28"/>
        <w:szCs w:val="28"/>
        <w:lang w:val="en-US"/>
      </w:rPr>
      <w:t>NORWEGIAN FINANCIAL MECHANISM 2014-2021</w:t>
    </w:r>
    <w:r>
      <w:rPr>
        <w:rFonts w:ascii="Times New Roman" w:hAnsi="Times New Roman"/>
        <w:b/>
        <w:noProof/>
        <w:sz w:val="28"/>
        <w:szCs w:val="28"/>
        <w:lang w:eastAsia="bg-BG"/>
      </w:rPr>
      <w:drawing>
        <wp:inline distT="0" distB="0" distL="0" distR="0" wp14:anchorId="176BDC99" wp14:editId="12F1767A">
          <wp:extent cx="817245" cy="4451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445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163"/>
    <w:multiLevelType w:val="hybridMultilevel"/>
    <w:tmpl w:val="9E94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A5405"/>
    <w:multiLevelType w:val="hybridMultilevel"/>
    <w:tmpl w:val="23E0ACF2"/>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1B512A43"/>
    <w:multiLevelType w:val="hybridMultilevel"/>
    <w:tmpl w:val="307C5B7E"/>
    <w:lvl w:ilvl="0" w:tplc="0BB8F7A6">
      <w:numFmt w:val="bullet"/>
      <w:lvlText w:val="-"/>
      <w:lvlJc w:val="left"/>
      <w:pPr>
        <w:ind w:left="1211" w:hanging="360"/>
      </w:pPr>
      <w:rPr>
        <w:rFonts w:ascii="Times New Roman" w:eastAsiaTheme="minorHAnsi"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77"/>
    <w:rsid w:val="00001864"/>
    <w:rsid w:val="000177A6"/>
    <w:rsid w:val="00037CF2"/>
    <w:rsid w:val="00097C1F"/>
    <w:rsid w:val="00097C35"/>
    <w:rsid w:val="000A1486"/>
    <w:rsid w:val="000B11F0"/>
    <w:rsid w:val="000C0AE6"/>
    <w:rsid w:val="000C624D"/>
    <w:rsid w:val="000E1268"/>
    <w:rsid w:val="000F7376"/>
    <w:rsid w:val="00115008"/>
    <w:rsid w:val="00116183"/>
    <w:rsid w:val="00126D88"/>
    <w:rsid w:val="00131737"/>
    <w:rsid w:val="00134092"/>
    <w:rsid w:val="0014657F"/>
    <w:rsid w:val="0015713A"/>
    <w:rsid w:val="00171750"/>
    <w:rsid w:val="00175D2C"/>
    <w:rsid w:val="00190086"/>
    <w:rsid w:val="00192063"/>
    <w:rsid w:val="001A05AE"/>
    <w:rsid w:val="001A2591"/>
    <w:rsid w:val="001A73B6"/>
    <w:rsid w:val="001E777F"/>
    <w:rsid w:val="001F14DE"/>
    <w:rsid w:val="001F5FEA"/>
    <w:rsid w:val="00210315"/>
    <w:rsid w:val="00231699"/>
    <w:rsid w:val="00243625"/>
    <w:rsid w:val="002436CB"/>
    <w:rsid w:val="002451F9"/>
    <w:rsid w:val="00257C14"/>
    <w:rsid w:val="0026789F"/>
    <w:rsid w:val="00286060"/>
    <w:rsid w:val="00291F1A"/>
    <w:rsid w:val="00297981"/>
    <w:rsid w:val="003162C0"/>
    <w:rsid w:val="00326D8D"/>
    <w:rsid w:val="00356CC4"/>
    <w:rsid w:val="00361A2B"/>
    <w:rsid w:val="00386A3A"/>
    <w:rsid w:val="003A473E"/>
    <w:rsid w:val="003A7597"/>
    <w:rsid w:val="003D1B86"/>
    <w:rsid w:val="003D2370"/>
    <w:rsid w:val="003E0B81"/>
    <w:rsid w:val="003E631E"/>
    <w:rsid w:val="003F7DA5"/>
    <w:rsid w:val="003F7E85"/>
    <w:rsid w:val="0041669A"/>
    <w:rsid w:val="00485247"/>
    <w:rsid w:val="0048621B"/>
    <w:rsid w:val="004B7F8E"/>
    <w:rsid w:val="004C2B79"/>
    <w:rsid w:val="004C385E"/>
    <w:rsid w:val="004F71CC"/>
    <w:rsid w:val="00503971"/>
    <w:rsid w:val="00526A81"/>
    <w:rsid w:val="00536A25"/>
    <w:rsid w:val="00545415"/>
    <w:rsid w:val="005545E8"/>
    <w:rsid w:val="005557E5"/>
    <w:rsid w:val="005634EB"/>
    <w:rsid w:val="005A05C9"/>
    <w:rsid w:val="005A6204"/>
    <w:rsid w:val="005C0F8D"/>
    <w:rsid w:val="005C6433"/>
    <w:rsid w:val="005D44CC"/>
    <w:rsid w:val="00607425"/>
    <w:rsid w:val="00640147"/>
    <w:rsid w:val="006542F8"/>
    <w:rsid w:val="00657970"/>
    <w:rsid w:val="00663D9E"/>
    <w:rsid w:val="00665CDB"/>
    <w:rsid w:val="00671670"/>
    <w:rsid w:val="006B61B8"/>
    <w:rsid w:val="006C119E"/>
    <w:rsid w:val="006C14EB"/>
    <w:rsid w:val="006D17D7"/>
    <w:rsid w:val="006E0235"/>
    <w:rsid w:val="00700474"/>
    <w:rsid w:val="00702631"/>
    <w:rsid w:val="00712786"/>
    <w:rsid w:val="00714FDA"/>
    <w:rsid w:val="00715879"/>
    <w:rsid w:val="00733495"/>
    <w:rsid w:val="00755721"/>
    <w:rsid w:val="00764F26"/>
    <w:rsid w:val="00791EA2"/>
    <w:rsid w:val="007949F8"/>
    <w:rsid w:val="007B6A27"/>
    <w:rsid w:val="007C18DA"/>
    <w:rsid w:val="007D2586"/>
    <w:rsid w:val="008013A3"/>
    <w:rsid w:val="00803575"/>
    <w:rsid w:val="0080747D"/>
    <w:rsid w:val="00842BA8"/>
    <w:rsid w:val="00851B41"/>
    <w:rsid w:val="008566FF"/>
    <w:rsid w:val="008608A5"/>
    <w:rsid w:val="00870AA1"/>
    <w:rsid w:val="00873971"/>
    <w:rsid w:val="00875E6F"/>
    <w:rsid w:val="00880FA5"/>
    <w:rsid w:val="008A02E5"/>
    <w:rsid w:val="008B1595"/>
    <w:rsid w:val="008B23FA"/>
    <w:rsid w:val="008C0AAB"/>
    <w:rsid w:val="00913E2E"/>
    <w:rsid w:val="00932D1A"/>
    <w:rsid w:val="00936322"/>
    <w:rsid w:val="00945189"/>
    <w:rsid w:val="0096290F"/>
    <w:rsid w:val="00975A8B"/>
    <w:rsid w:val="009772D3"/>
    <w:rsid w:val="00980AD2"/>
    <w:rsid w:val="0098300A"/>
    <w:rsid w:val="009A0E07"/>
    <w:rsid w:val="009B057C"/>
    <w:rsid w:val="009C4976"/>
    <w:rsid w:val="009E2276"/>
    <w:rsid w:val="009F7F71"/>
    <w:rsid w:val="00A107DF"/>
    <w:rsid w:val="00A20807"/>
    <w:rsid w:val="00A30077"/>
    <w:rsid w:val="00A31109"/>
    <w:rsid w:val="00A458B0"/>
    <w:rsid w:val="00A6787F"/>
    <w:rsid w:val="00A944D0"/>
    <w:rsid w:val="00A96809"/>
    <w:rsid w:val="00AC7F82"/>
    <w:rsid w:val="00B03884"/>
    <w:rsid w:val="00B36951"/>
    <w:rsid w:val="00B4055E"/>
    <w:rsid w:val="00B5620C"/>
    <w:rsid w:val="00B56FFE"/>
    <w:rsid w:val="00B761C2"/>
    <w:rsid w:val="00B8138F"/>
    <w:rsid w:val="00B87E4F"/>
    <w:rsid w:val="00B92D83"/>
    <w:rsid w:val="00BA4B0B"/>
    <w:rsid w:val="00BD7814"/>
    <w:rsid w:val="00C00477"/>
    <w:rsid w:val="00C0153B"/>
    <w:rsid w:val="00C11A83"/>
    <w:rsid w:val="00C12DE9"/>
    <w:rsid w:val="00C335BE"/>
    <w:rsid w:val="00C44109"/>
    <w:rsid w:val="00C87F8B"/>
    <w:rsid w:val="00CA1ABF"/>
    <w:rsid w:val="00CA2FD6"/>
    <w:rsid w:val="00CA4481"/>
    <w:rsid w:val="00CB062A"/>
    <w:rsid w:val="00CB5804"/>
    <w:rsid w:val="00CC1963"/>
    <w:rsid w:val="00CC4036"/>
    <w:rsid w:val="00CC643E"/>
    <w:rsid w:val="00CC776A"/>
    <w:rsid w:val="00CD7653"/>
    <w:rsid w:val="00CF601A"/>
    <w:rsid w:val="00CF6B7C"/>
    <w:rsid w:val="00D240E3"/>
    <w:rsid w:val="00D27962"/>
    <w:rsid w:val="00D36544"/>
    <w:rsid w:val="00D4207F"/>
    <w:rsid w:val="00D77518"/>
    <w:rsid w:val="00DC3E38"/>
    <w:rsid w:val="00DC7838"/>
    <w:rsid w:val="00DC7D29"/>
    <w:rsid w:val="00DE04DD"/>
    <w:rsid w:val="00DE3C19"/>
    <w:rsid w:val="00E03948"/>
    <w:rsid w:val="00E06A73"/>
    <w:rsid w:val="00E13AD8"/>
    <w:rsid w:val="00E332A5"/>
    <w:rsid w:val="00E35C4F"/>
    <w:rsid w:val="00E35C93"/>
    <w:rsid w:val="00E42594"/>
    <w:rsid w:val="00E559FB"/>
    <w:rsid w:val="00E55CF7"/>
    <w:rsid w:val="00E75275"/>
    <w:rsid w:val="00E77F86"/>
    <w:rsid w:val="00E81805"/>
    <w:rsid w:val="00EA3D79"/>
    <w:rsid w:val="00EA4DEE"/>
    <w:rsid w:val="00EB1B31"/>
    <w:rsid w:val="00EE0CC2"/>
    <w:rsid w:val="00EF0142"/>
    <w:rsid w:val="00F02C5A"/>
    <w:rsid w:val="00F03A38"/>
    <w:rsid w:val="00F2246F"/>
    <w:rsid w:val="00F403FC"/>
    <w:rsid w:val="00F45FCB"/>
    <w:rsid w:val="00F54B4A"/>
    <w:rsid w:val="00F740F6"/>
    <w:rsid w:val="00F76993"/>
    <w:rsid w:val="00FE49C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B1AF5"/>
  <w15:chartTrackingRefBased/>
  <w15:docId w15:val="{3778603A-72A1-4707-8A85-4B80F9FB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A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A81"/>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A9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D0"/>
    <w:rPr>
      <w:rFonts w:ascii="Segoe UI" w:hAnsi="Segoe UI" w:cs="Segoe UI"/>
      <w:sz w:val="18"/>
      <w:szCs w:val="18"/>
    </w:rPr>
  </w:style>
  <w:style w:type="character" w:styleId="CommentReference">
    <w:name w:val="annotation reference"/>
    <w:basedOn w:val="DefaultParagraphFont"/>
    <w:uiPriority w:val="99"/>
    <w:semiHidden/>
    <w:unhideWhenUsed/>
    <w:rsid w:val="000A1486"/>
    <w:rPr>
      <w:sz w:val="16"/>
      <w:szCs w:val="16"/>
    </w:rPr>
  </w:style>
  <w:style w:type="paragraph" w:styleId="CommentText">
    <w:name w:val="annotation text"/>
    <w:basedOn w:val="Normal"/>
    <w:link w:val="CommentTextChar"/>
    <w:uiPriority w:val="99"/>
    <w:semiHidden/>
    <w:unhideWhenUsed/>
    <w:rsid w:val="000A1486"/>
    <w:pPr>
      <w:spacing w:line="240" w:lineRule="auto"/>
    </w:pPr>
    <w:rPr>
      <w:sz w:val="20"/>
      <w:szCs w:val="20"/>
    </w:rPr>
  </w:style>
  <w:style w:type="character" w:customStyle="1" w:styleId="CommentTextChar">
    <w:name w:val="Comment Text Char"/>
    <w:basedOn w:val="DefaultParagraphFont"/>
    <w:link w:val="CommentText"/>
    <w:uiPriority w:val="99"/>
    <w:semiHidden/>
    <w:rsid w:val="000A1486"/>
    <w:rPr>
      <w:sz w:val="20"/>
      <w:szCs w:val="20"/>
    </w:rPr>
  </w:style>
  <w:style w:type="paragraph" w:styleId="CommentSubject">
    <w:name w:val="annotation subject"/>
    <w:basedOn w:val="CommentText"/>
    <w:next w:val="CommentText"/>
    <w:link w:val="CommentSubjectChar"/>
    <w:uiPriority w:val="99"/>
    <w:semiHidden/>
    <w:unhideWhenUsed/>
    <w:rsid w:val="000A1486"/>
    <w:rPr>
      <w:b/>
      <w:bCs/>
    </w:rPr>
  </w:style>
  <w:style w:type="character" w:customStyle="1" w:styleId="CommentSubjectChar">
    <w:name w:val="Comment Subject Char"/>
    <w:basedOn w:val="CommentTextChar"/>
    <w:link w:val="CommentSubject"/>
    <w:uiPriority w:val="99"/>
    <w:semiHidden/>
    <w:rsid w:val="000A1486"/>
    <w:rPr>
      <w:b/>
      <w:bCs/>
      <w:sz w:val="20"/>
      <w:szCs w:val="20"/>
    </w:rPr>
  </w:style>
  <w:style w:type="paragraph" w:styleId="NoSpacing">
    <w:name w:val="No Spacing"/>
    <w:link w:val="NoSpacingChar"/>
    <w:uiPriority w:val="1"/>
    <w:qFormat/>
    <w:rsid w:val="0041669A"/>
    <w:pPr>
      <w:spacing w:before="100" w:after="0" w:line="240" w:lineRule="auto"/>
    </w:pPr>
    <w:rPr>
      <w:rFonts w:eastAsiaTheme="minorEastAsia"/>
      <w:sz w:val="20"/>
      <w:szCs w:val="20"/>
      <w:lang w:val="en-GB"/>
    </w:rPr>
  </w:style>
  <w:style w:type="character" w:customStyle="1" w:styleId="NoSpacingChar">
    <w:name w:val="No Spacing Char"/>
    <w:basedOn w:val="DefaultParagraphFont"/>
    <w:link w:val="NoSpacing"/>
    <w:uiPriority w:val="1"/>
    <w:locked/>
    <w:rsid w:val="0041669A"/>
    <w:rPr>
      <w:rFonts w:eastAsiaTheme="minorEastAsia"/>
      <w:sz w:val="20"/>
      <w:szCs w:val="20"/>
      <w:lang w:val="en-GB"/>
    </w:rPr>
  </w:style>
  <w:style w:type="character" w:styleId="Hyperlink">
    <w:name w:val="Hyperlink"/>
    <w:basedOn w:val="DefaultParagraphFont"/>
    <w:uiPriority w:val="99"/>
    <w:unhideWhenUsed/>
    <w:rsid w:val="00D240E3"/>
    <w:rPr>
      <w:color w:val="0563C1" w:themeColor="hyperlink"/>
      <w:u w:val="single"/>
    </w:rPr>
  </w:style>
  <w:style w:type="paragraph" w:styleId="Header">
    <w:name w:val="header"/>
    <w:basedOn w:val="Normal"/>
    <w:link w:val="HeaderChar"/>
    <w:uiPriority w:val="99"/>
    <w:unhideWhenUsed/>
    <w:rsid w:val="001150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5008"/>
  </w:style>
  <w:style w:type="paragraph" w:styleId="Footer">
    <w:name w:val="footer"/>
    <w:basedOn w:val="Normal"/>
    <w:link w:val="FooterChar"/>
    <w:uiPriority w:val="99"/>
    <w:unhideWhenUsed/>
    <w:rsid w:val="001150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1647">
      <w:bodyDiv w:val="1"/>
      <w:marLeft w:val="0"/>
      <w:marRight w:val="0"/>
      <w:marTop w:val="0"/>
      <w:marBottom w:val="0"/>
      <w:divBdr>
        <w:top w:val="none" w:sz="0" w:space="0" w:color="auto"/>
        <w:left w:val="none" w:sz="0" w:space="0" w:color="auto"/>
        <w:bottom w:val="none" w:sz="0" w:space="0" w:color="auto"/>
        <w:right w:val="none" w:sz="0" w:space="0" w:color="auto"/>
      </w:divBdr>
    </w:div>
    <w:div w:id="71862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4810CDE2D6A49B31A15A0914D30AA" ma:contentTypeVersion="14" ma:contentTypeDescription="Create a new document." ma:contentTypeScope="" ma:versionID="27ea9c5a763e7417d590bf68d22baa32">
  <xsd:schema xmlns:xsd="http://www.w3.org/2001/XMLSchema" xmlns:xs="http://www.w3.org/2001/XMLSchema" xmlns:p="http://schemas.microsoft.com/office/2006/metadata/properties" xmlns:ns3="a794c530-2362-40c3-a872-0787e01ce193" xmlns:ns4="f5a3da11-f04f-44ae-99ac-e3b832686c32" targetNamespace="http://schemas.microsoft.com/office/2006/metadata/properties" ma:root="true" ma:fieldsID="d153ca5e9bc947e91ffd3b0df65deca6" ns3:_="" ns4:_="">
    <xsd:import namespace="a794c530-2362-40c3-a872-0787e01ce193"/>
    <xsd:import namespace="f5a3da11-f04f-44ae-99ac-e3b832686c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4c530-2362-40c3-a872-0787e01ce1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3da11-f04f-44ae-99ac-e3b832686c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75033-5EF3-44BC-B312-807BBD11D066}">
  <ds:schemaRefs>
    <ds:schemaRef ds:uri="http://purl.org/dc/terms/"/>
    <ds:schemaRef ds:uri="a794c530-2362-40c3-a872-0787e01ce19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5a3da11-f04f-44ae-99ac-e3b832686c32"/>
    <ds:schemaRef ds:uri="http://www.w3.org/XML/1998/namespace"/>
    <ds:schemaRef ds:uri="http://purl.org/dc/dcmitype/"/>
  </ds:schemaRefs>
</ds:datastoreItem>
</file>

<file path=customXml/itemProps2.xml><?xml version="1.0" encoding="utf-8"?>
<ds:datastoreItem xmlns:ds="http://schemas.openxmlformats.org/officeDocument/2006/customXml" ds:itemID="{B7D6B313-8AD6-44EB-8D15-1BCB1DBA6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4c530-2362-40c3-a872-0787e01ce193"/>
    <ds:schemaRef ds:uri="f5a3da11-f04f-44ae-99ac-e3b832686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84C74-A9C0-401E-8984-C355815DF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MoI</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 V. Valkov</dc:creator>
  <cp:keywords/>
  <dc:description/>
  <cp:lastModifiedBy>Krasimir N. Ushnev</cp:lastModifiedBy>
  <cp:revision>23</cp:revision>
  <dcterms:created xsi:type="dcterms:W3CDTF">2022-05-27T06:22:00Z</dcterms:created>
  <dcterms:modified xsi:type="dcterms:W3CDTF">2023-08-09T10:44:00Z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0x0101006174810CDE2D6A49B31A15A0914D30AA</vt:lpwstr>
  </property>
</Properties>
</file>